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680ACE3B" w:rsidR="00467207" w:rsidRPr="00C8192D" w:rsidRDefault="00A631D5" w:rsidP="00374966">
            <w:pPr>
              <w:rPr>
                <w:rFonts w:ascii="Arial" w:hAnsi="Arial" w:cs="Arial"/>
                <w:b/>
                <w:szCs w:val="28"/>
              </w:rPr>
            </w:pPr>
            <w:r w:rsidRPr="00A631D5">
              <w:rPr>
                <w:rFonts w:ascii="Arial" w:hAnsi="Arial" w:cs="Arial"/>
                <w:b/>
                <w:szCs w:val="28"/>
              </w:rPr>
              <w:t>Applying electrospinning to develop advanced nanofiber formulations</w:t>
            </w:r>
          </w:p>
        </w:tc>
      </w:tr>
      <w:tr w:rsidR="00467207" w:rsidRPr="005A09F5" w14:paraId="1D5D4D13" w14:textId="77777777" w:rsidTr="00032119">
        <w:tc>
          <w:tcPr>
            <w:tcW w:w="9576" w:type="dxa"/>
          </w:tcPr>
          <w:p w14:paraId="02AF625D" w14:textId="4234A3CF" w:rsidR="00972FB0" w:rsidRPr="00A631D5" w:rsidRDefault="00A631D5" w:rsidP="00A631D5">
            <w:pPr>
              <w:spacing w:after="0" w:line="240" w:lineRule="auto"/>
              <w:rPr>
                <w:rFonts w:ascii="Arial" w:hAnsi="Arial"/>
                <w:u w:val="single"/>
              </w:rPr>
            </w:pPr>
            <w:proofErr w:type="spellStart"/>
            <w:r w:rsidRPr="00A631D5">
              <w:rPr>
                <w:rFonts w:ascii="Arial" w:hAnsi="Arial"/>
                <w:u w:val="single"/>
              </w:rPr>
              <w:t>Lixiang</w:t>
            </w:r>
            <w:proofErr w:type="spellEnd"/>
            <w:r w:rsidRPr="00A631D5">
              <w:rPr>
                <w:rFonts w:ascii="Arial" w:hAnsi="Arial"/>
                <w:u w:val="single"/>
              </w:rPr>
              <w:t xml:space="preserve"> </w:t>
            </w:r>
            <w:proofErr w:type="spellStart"/>
            <w:r w:rsidRPr="00A631D5">
              <w:rPr>
                <w:rFonts w:ascii="Arial" w:hAnsi="Arial"/>
                <w:u w:val="single"/>
              </w:rPr>
              <w:t>zhao</w:t>
            </w:r>
            <w:proofErr w:type="spellEnd"/>
            <w:r w:rsidRPr="00A631D5">
              <w:rPr>
                <w:rFonts w:ascii="Arial" w:hAnsi="Arial"/>
              </w:rPr>
              <w:t xml:space="preserve">, Gareth </w:t>
            </w:r>
            <w:proofErr w:type="spellStart"/>
            <w:r w:rsidRPr="00A631D5">
              <w:rPr>
                <w:rFonts w:ascii="Arial" w:hAnsi="Arial"/>
              </w:rPr>
              <w:t>williams</w:t>
            </w:r>
            <w:proofErr w:type="spellEnd"/>
            <w:r w:rsidRPr="00A631D5">
              <w:rPr>
                <w:rFonts w:ascii="Arial" w:hAnsi="Arial"/>
              </w:rPr>
              <w:t xml:space="preserve"> and </w:t>
            </w:r>
            <w:r>
              <w:rPr>
                <w:rFonts w:ascii="Arial" w:hAnsi="Arial"/>
              </w:rPr>
              <w:t>M</w:t>
            </w:r>
            <w:r w:rsidRPr="00A631D5">
              <w:rPr>
                <w:rFonts w:ascii="Arial" w:hAnsi="Arial"/>
              </w:rPr>
              <w:t xml:space="preserve">ine </w:t>
            </w:r>
            <w:proofErr w:type="spellStart"/>
            <w:r w:rsidRPr="00A631D5">
              <w:rPr>
                <w:rFonts w:ascii="Arial" w:hAnsi="Arial"/>
              </w:rPr>
              <w:t>orlu</w:t>
            </w:r>
            <w:proofErr w:type="spellEnd"/>
          </w:p>
        </w:tc>
      </w:tr>
      <w:tr w:rsidR="00467207" w:rsidRPr="005A09F5" w14:paraId="63FBC6B0" w14:textId="77777777" w:rsidTr="00032119">
        <w:tc>
          <w:tcPr>
            <w:tcW w:w="9576" w:type="dxa"/>
          </w:tcPr>
          <w:p w14:paraId="1E6D58FE" w14:textId="1FEA2F76" w:rsidR="00EA519D" w:rsidRPr="00EA519D" w:rsidRDefault="00A631D5" w:rsidP="00EA519D">
            <w:pPr>
              <w:spacing w:line="240" w:lineRule="auto"/>
              <w:rPr>
                <w:rFonts w:ascii="Arial" w:eastAsia="Times New Roman" w:hAnsi="Arial" w:cs="Arial"/>
                <w:color w:val="000000"/>
                <w:lang w:val="en-GB" w:eastAsia="en-GB"/>
              </w:rPr>
            </w:pPr>
            <w:r>
              <w:rPr>
                <w:rFonts w:ascii="Arial" w:hAnsi="Arial"/>
                <w:color w:val="000000" w:themeColor="text1"/>
              </w:rPr>
              <w:t>Department of Life Science, School of Pharmacy, University College London, London, WC1N 1AX, UK</w:t>
            </w:r>
          </w:p>
        </w:tc>
      </w:tr>
      <w:tr w:rsidR="00467207" w:rsidRPr="005A09F5" w14:paraId="68801AA9" w14:textId="77777777" w:rsidTr="00032119">
        <w:tc>
          <w:tcPr>
            <w:tcW w:w="9576" w:type="dxa"/>
          </w:tcPr>
          <w:p w14:paraId="2E81396E" w14:textId="77777777" w:rsidR="004A64DD" w:rsidRDefault="00467207" w:rsidP="004A64DD">
            <w:pPr>
              <w:spacing w:line="240" w:lineRule="auto"/>
              <w:jc w:val="both"/>
              <w:rPr>
                <w:rFonts w:ascii="Arial" w:hAnsi="Arial"/>
              </w:rPr>
            </w:pPr>
            <w:r w:rsidRPr="00C8192D">
              <w:rPr>
                <w:rFonts w:ascii="Arial" w:hAnsi="Arial"/>
                <w:b/>
              </w:rPr>
              <w:t>Background:</w:t>
            </w:r>
            <w:r w:rsidR="005162DB">
              <w:rPr>
                <w:rFonts w:ascii="Arial" w:hAnsi="Arial"/>
              </w:rPr>
              <w:t xml:space="preserve"> </w:t>
            </w:r>
          </w:p>
          <w:p w14:paraId="53B19405" w14:textId="33343357" w:rsidR="004A64DD" w:rsidRDefault="004A64DD" w:rsidP="004A64DD">
            <w:pPr>
              <w:spacing w:after="0" w:line="240" w:lineRule="auto"/>
              <w:jc w:val="both"/>
              <w:rPr>
                <w:rFonts w:ascii="Arial" w:hAnsi="Arial"/>
                <w:lang w:val="en-GB"/>
              </w:rPr>
            </w:pPr>
            <w:r>
              <w:rPr>
                <w:rFonts w:ascii="Arial" w:hAnsi="Arial"/>
                <w:lang w:val="en-GB"/>
              </w:rPr>
              <w:t xml:space="preserve">      </w:t>
            </w:r>
            <w:r w:rsidRPr="004A64DD">
              <w:rPr>
                <w:rFonts w:ascii="Arial" w:hAnsi="Arial"/>
                <w:lang w:val="en-GB"/>
              </w:rPr>
              <w:t xml:space="preserve">Irritable bowel syndrome (IBS) is a common functional bowel disorder characterized by altered bowel habits associated with abdominal discomfort or pain without detectable structural and biochemical abnormalities. The aetiology is poorly understood, and many factors are involved, such as altered gastrointestinal motility, visceral hypersensitivity, post-infectious reactivity, and brain-gut interactions </w:t>
            </w:r>
            <w:r w:rsidRPr="004A64DD">
              <w:rPr>
                <w:rFonts w:ascii="Arial" w:hAnsi="Arial"/>
                <w:lang w:val="en-GB"/>
              </w:rPr>
              <w:fldChar w:fldCharType="begin" w:fldLock="1"/>
            </w:r>
            <w:r w:rsidRPr="004A64DD">
              <w:rPr>
                <w:rFonts w:ascii="Arial" w:hAnsi="Arial"/>
                <w:lang w:val="en-GB"/>
              </w:rPr>
              <w:instrText>ADDIN CSL_CITATION {"citationItems":[{"id":"ITEM-1","itemData":{"DOI":"10.1055/s-0032-1301759","ISSN":"15310043","abstract":"The understanding of irritable bowel syndrome (IBS) has undergone a rapid evolution with scientific advancement. IBS is a common functional bowel disorder that generates a significant health care burden and is the most commonly diagnosed gastrointestinal condition. There are well-established diagnostic criteria and algorithms for the initial evaluation of patients presenting with the symptoms of IBS. The symptoms can be targeted for therapy with a variety of pharmaceutical and nonpharmaceutical agents. Therapy should be individualized for the patient, and the cornerstone for any effective treatment strategy should be the solid patient-physician relationship. Copyright © 2012 by Thieme Medical Publishers, Inc.","author":[{"dropping-particle":"","family":"Occhipinti","given":"Kaitlin","non-dropping-particle":"","parse-names":false,"suffix":""},{"dropping-particle":"","family":"Smith","given":"James W.","non-dropping-particle":"","parse-names":false,"suffix":""}],"container-title":"Clinics in Colon and Rectal Surgery","id":"ITEM-1","issued":{"date-parts":[["2012"]]},"title":"Irritable bowel syndrome: A review and update","type":"article"},"uris":["http://www.mendeley.com/documents/?uuid=818ebf05-210e-483a-9981-2789a027156d"]},{"id":"ITEM-2","itemData":{"DOI":"10.3748/wjg.v20.i22.6759","ISSN":"22192840","PMID":"24944467","abstract":"Irritable bowel syndrome (IBS) is a chronic and debilitating functional gastrointestinal disorder that affects 9%-23% of the population across the world. The percentage of patients seeking health care related to IBS approaches 12% in primary care practices and is by far the largest subgroup seen in gastroenterology clinics. It has been well documented that these patients exhibit a poorer quality of life and utilize the health care system to a greater degree than patients without this diagnosis. The pathophysiology of IBS is not clear. Many theories have been put forward, but the exact cause of IBS is still uncertain. According to the updated ROME III criteria, IBS is a clinical diagnosis and presents as one of the three predominant subtypes: (1) IBS with constipation (IBS-C); (2) IBS with diarrhea (IBS-D); and (3) mixed IBS (IBS-M); former ROME definitions refer to IBS-M as alternating IBS (IBS-A). Across the IBS subtypes, the presentation of symptoms may vary among patients and change over time. Patients report the most distressing symptoms to be abdominal pain, straining, myalgias, urgency, bloating and feelings of serious illness. The complexity and diversity of IBS presentation makes treatment difficult. Although there are reviews and guidelines for treating IBS, they focus on the efficacy of medications for IBS symptoms using high-priority endpoints, leaving those of lower priority largely unreported. Therefore, the aim of this review is to provide a comprehensive evidence-based review of the diagnosis, pathogenesis and treatment to guide clinicians diagnosing and treating their patients. © 2014 Baishideng Publishing Group Inc. All rights reserved.","author":[{"dropping-particle":"","family":"Saha","given":"Lekha","non-dropping-particle":"","parse-names":false,"suffix":""}],"container-title":"World Journal of Gastroenterology","id":"ITEM-2","issued":{"date-parts":[["2014"]]},"title":"Irritable bowel syndrome: Pathogenesis, diagnosis, treatment, and evidence-based medicine","type":"article-journal"},"uris":["http://www.mendeley.com/documents/?uuid=7092db22-45b4-4d61-ab38-49959492dc02"]}],"mendeley":{"formattedCitation":"(Occhipinti and Smith, 2012; Saha, 2014)","manualFormatting":"(Occhipinti and Smith, 2012) (Saha, 2014)","plainTextFormattedCitation":"(Occhipinti and Smith, 2012; Saha, 2014)","previouslyFormattedCitation":"(Occhipinti and Smith, 2012; Saha, 2014)"},"properties":{"noteIndex":0},"schema":"https://github.com/citation-style-language/schema/raw/master/csl-citation.json"}</w:instrText>
            </w:r>
            <w:r w:rsidRPr="004A64DD">
              <w:rPr>
                <w:rFonts w:ascii="Arial" w:hAnsi="Arial"/>
                <w:lang w:val="en-GB"/>
              </w:rPr>
              <w:fldChar w:fldCharType="separate"/>
            </w:r>
            <w:r w:rsidRPr="004A64DD">
              <w:rPr>
                <w:rFonts w:ascii="Arial" w:hAnsi="Arial"/>
                <w:lang w:val="en-GB"/>
              </w:rPr>
              <w:t>(Occhipinti and Smith, 2012) (Saha, 2014)</w:t>
            </w:r>
            <w:r w:rsidRPr="004A64DD">
              <w:rPr>
                <w:rFonts w:ascii="Arial" w:hAnsi="Arial"/>
                <w:lang w:val="en-GB"/>
              </w:rPr>
              <w:fldChar w:fldCharType="end"/>
            </w:r>
            <w:r w:rsidRPr="004A64DD">
              <w:rPr>
                <w:rFonts w:ascii="Arial" w:hAnsi="Arial"/>
                <w:lang w:val="en-GB"/>
              </w:rPr>
              <w:t xml:space="preserve">. However, the perceived symptoms from these mechanisms consist of abdominal pain or discomfort, bloating, diarrhoea, and constipation. Not all symptoms are gastrointestinal such as fatigue and depression. </w:t>
            </w:r>
          </w:p>
          <w:p w14:paraId="73356EB0" w14:textId="5DB21AA0" w:rsidR="004A64DD" w:rsidRPr="004A64DD" w:rsidRDefault="004A64DD" w:rsidP="004A64DD">
            <w:pPr>
              <w:spacing w:after="0" w:line="240" w:lineRule="auto"/>
              <w:jc w:val="both"/>
              <w:rPr>
                <w:rFonts w:ascii="Arial" w:hAnsi="Arial"/>
                <w:lang w:val="en-GB"/>
              </w:rPr>
            </w:pPr>
            <w:r>
              <w:rPr>
                <w:rFonts w:ascii="Arial" w:hAnsi="Arial"/>
                <w:lang w:val="en-GB"/>
              </w:rPr>
              <w:t xml:space="preserve">      </w:t>
            </w:r>
            <w:r w:rsidRPr="004A64DD">
              <w:rPr>
                <w:rFonts w:ascii="Arial" w:hAnsi="Arial"/>
                <w:lang w:val="en-GB"/>
              </w:rPr>
              <w:t xml:space="preserve">The gastric-resistant coating is a protective barrier applied to orally administered pharmaceutical formulations. It can protect drugs from stomach acid and enzymatic degradation in the stomach. Electrospinning (ES) is a fabrication technology which can be used to formulate colonic-targeting drug delivery systems. </w:t>
            </w:r>
            <w:proofErr w:type="spellStart"/>
            <w:r w:rsidRPr="004A64DD">
              <w:rPr>
                <w:rFonts w:ascii="Arial" w:hAnsi="Arial"/>
                <w:lang w:val="en-GB"/>
              </w:rPr>
              <w:t>Electrospun</w:t>
            </w:r>
            <w:proofErr w:type="spellEnd"/>
            <w:r w:rsidRPr="004A64DD">
              <w:rPr>
                <w:rFonts w:ascii="Arial" w:hAnsi="Arial"/>
                <w:lang w:val="en-GB"/>
              </w:rPr>
              <w:t xml:space="preserve"> nanofibers can be formulated with varied architectures and different polymers to achieve sophisticated drug delivery properties, such as controlled release and targeted drug delivery.</w:t>
            </w:r>
          </w:p>
          <w:p w14:paraId="4D02338A" w14:textId="378EA9EB" w:rsidR="00EA519D" w:rsidRPr="004A64DD" w:rsidRDefault="004A64DD" w:rsidP="004A64DD">
            <w:pPr>
              <w:spacing w:after="0" w:line="240" w:lineRule="auto"/>
              <w:jc w:val="both"/>
              <w:rPr>
                <w:rFonts w:ascii="Arial" w:hAnsi="Arial"/>
                <w:lang w:val="en-GB"/>
              </w:rPr>
            </w:pPr>
            <w:r w:rsidRPr="004A64DD">
              <w:rPr>
                <w:rFonts w:ascii="Arial" w:hAnsi="Arial"/>
                <w:lang w:val="en-GB"/>
              </w:rPr>
              <w:t xml:space="preserve">      The Island-in-the-sea is much like a coaxial spinneret except that instead of having a single inner needle, it features three separate inner needles (shown as right image) - each one capable of ejecting a separate liquid.</w:t>
            </w:r>
          </w:p>
        </w:tc>
      </w:tr>
      <w:tr w:rsidR="00467207" w:rsidRPr="005A09F5" w14:paraId="291DAA53" w14:textId="77777777" w:rsidTr="00032119">
        <w:tc>
          <w:tcPr>
            <w:tcW w:w="9576" w:type="dxa"/>
          </w:tcPr>
          <w:p w14:paraId="08211AA4" w14:textId="77777777" w:rsidR="004A64DD" w:rsidRDefault="00467207" w:rsidP="004A64DD">
            <w:pPr>
              <w:spacing w:line="240" w:lineRule="auto"/>
              <w:rPr>
                <w:rFonts w:ascii="Arial" w:hAnsi="Arial"/>
              </w:rPr>
            </w:pPr>
            <w:r w:rsidRPr="00C8192D">
              <w:rPr>
                <w:rFonts w:ascii="Arial" w:hAnsi="Arial"/>
                <w:b/>
              </w:rPr>
              <w:t>Methods:</w:t>
            </w:r>
            <w:r w:rsidRPr="00C8192D">
              <w:rPr>
                <w:rFonts w:ascii="Arial" w:hAnsi="Arial"/>
              </w:rPr>
              <w:t xml:space="preserve"> </w:t>
            </w:r>
          </w:p>
          <w:p w14:paraId="158BA3F5" w14:textId="3BA78E96" w:rsidR="00EA519D" w:rsidRPr="00172A31" w:rsidRDefault="004A64DD" w:rsidP="00172A31">
            <w:pPr>
              <w:spacing w:after="0" w:line="240" w:lineRule="auto"/>
              <w:jc w:val="both"/>
              <w:rPr>
                <w:rFonts w:ascii="Arial" w:hAnsi="Arial"/>
                <w:lang w:val="en-GB"/>
              </w:rPr>
            </w:pPr>
            <w:r>
              <w:rPr>
                <w:rFonts w:ascii="Arial" w:hAnsi="Arial"/>
                <w:lang w:val="en-GB"/>
              </w:rPr>
              <w:t xml:space="preserve">      </w:t>
            </w:r>
            <w:r w:rsidR="00172A31" w:rsidRPr="00172A31">
              <w:rPr>
                <w:rFonts w:ascii="Arial" w:hAnsi="Arial"/>
              </w:rPr>
              <w:t xml:space="preserve">The aim of this work is to construct a colonic-targeted platform. Two traditional formulation development methodologies, film-casting and hot-melt extrusion, were first compared with electrospinning to determine the most appropriate technology for further study. The </w:t>
            </w:r>
            <w:proofErr w:type="spellStart"/>
            <w:r w:rsidR="00172A31" w:rsidRPr="00172A31">
              <w:rPr>
                <w:rFonts w:ascii="Arial" w:hAnsi="Arial"/>
              </w:rPr>
              <w:t>electrospun</w:t>
            </w:r>
            <w:proofErr w:type="spellEnd"/>
            <w:r w:rsidR="00172A31" w:rsidRPr="00172A31">
              <w:rPr>
                <w:rFonts w:ascii="Arial" w:hAnsi="Arial"/>
              </w:rPr>
              <w:t xml:space="preserve"> </w:t>
            </w:r>
            <w:proofErr w:type="spellStart"/>
            <w:r w:rsidR="00172A31" w:rsidRPr="00172A31">
              <w:rPr>
                <w:rFonts w:ascii="Arial" w:hAnsi="Arial"/>
              </w:rPr>
              <w:t>fibres</w:t>
            </w:r>
            <w:proofErr w:type="spellEnd"/>
            <w:r w:rsidR="00172A31" w:rsidRPr="00172A31">
              <w:rPr>
                <w:rFonts w:ascii="Arial" w:hAnsi="Arial"/>
              </w:rPr>
              <w:t xml:space="preserve"> were found to have better properties than the other formulations in terms of in vitro drug release profile. Multi-drug-loaded </w:t>
            </w:r>
            <w:proofErr w:type="spellStart"/>
            <w:r w:rsidR="00172A31" w:rsidRPr="00172A31">
              <w:rPr>
                <w:rFonts w:ascii="Arial" w:hAnsi="Arial"/>
              </w:rPr>
              <w:t>nanofibres</w:t>
            </w:r>
            <w:proofErr w:type="spellEnd"/>
            <w:r w:rsidR="00172A31" w:rsidRPr="00172A31">
              <w:rPr>
                <w:rFonts w:ascii="Arial" w:hAnsi="Arial"/>
              </w:rPr>
              <w:t xml:space="preserve"> were prepared with three polymers, including Eudragit S100 as a pH-sensitive trigger, Eudragit RL100 as a time-extended trigger, and maize starch as a colonic microbiota-dependent trigger.</w:t>
            </w:r>
          </w:p>
        </w:tc>
      </w:tr>
      <w:tr w:rsidR="00467207" w:rsidRPr="005A09F5" w14:paraId="3489F48C" w14:textId="77777777" w:rsidTr="00032119">
        <w:tc>
          <w:tcPr>
            <w:tcW w:w="9576" w:type="dxa"/>
          </w:tcPr>
          <w:p w14:paraId="32E56B96" w14:textId="77777777" w:rsidR="004A64DD" w:rsidRDefault="00467207" w:rsidP="004A64DD">
            <w:pPr>
              <w:spacing w:line="240" w:lineRule="auto"/>
              <w:rPr>
                <w:rFonts w:ascii="Arial" w:hAnsi="Arial"/>
              </w:rPr>
            </w:pPr>
            <w:r w:rsidRPr="00C8192D">
              <w:rPr>
                <w:rFonts w:ascii="Arial" w:hAnsi="Arial"/>
                <w:b/>
              </w:rPr>
              <w:t>Results:</w:t>
            </w:r>
            <w:r w:rsidR="00197EC0">
              <w:rPr>
                <w:rFonts w:ascii="Arial" w:hAnsi="Arial"/>
              </w:rPr>
              <w:t xml:space="preserve"> </w:t>
            </w:r>
          </w:p>
          <w:p w14:paraId="721BEE18" w14:textId="12D4D226" w:rsidR="00EA519D" w:rsidRPr="00172A31" w:rsidRDefault="00172A31" w:rsidP="00172A31">
            <w:pPr>
              <w:spacing w:line="240" w:lineRule="auto"/>
              <w:jc w:val="both"/>
              <w:rPr>
                <w:rFonts w:ascii="Arial" w:hAnsi="Arial"/>
              </w:rPr>
            </w:pPr>
            <w:r w:rsidRPr="00172A31">
              <w:rPr>
                <w:rFonts w:ascii="Arial" w:hAnsi="Arial"/>
              </w:rPr>
              <w:t>The research process started with a simple conventional mono-axial electrospinning method to formulate a single-stimulus-triggered product. A final product with three triggers was prepared using multiple techniques, such as side-by-side ES, co-axial ES, island-in-sea ES, and multi-jet ES</w:t>
            </w:r>
            <w:r>
              <w:rPr>
                <w:rFonts w:ascii="Arial" w:hAnsi="Arial"/>
              </w:rPr>
              <w:t xml:space="preserve">. </w:t>
            </w:r>
            <w:r w:rsidRPr="00172A31">
              <w:rPr>
                <w:rFonts w:ascii="Arial" w:hAnsi="Arial"/>
              </w:rPr>
              <w:t>The final product successfully encapsulated the drug cargo with more than 90% efficiency, with less than 5% burst release in fasted state simulated gastric fluid, and more than 85% of the drug loading successfully released in conditions mimicking the colon.</w:t>
            </w:r>
          </w:p>
        </w:tc>
      </w:tr>
      <w:tr w:rsidR="00467207" w:rsidRPr="005A09F5" w14:paraId="2083C688" w14:textId="77777777" w:rsidTr="00032119">
        <w:tc>
          <w:tcPr>
            <w:tcW w:w="9576" w:type="dxa"/>
          </w:tcPr>
          <w:p w14:paraId="69141195" w14:textId="77777777" w:rsidR="00172A31" w:rsidRDefault="00467207" w:rsidP="00172A31">
            <w:pPr>
              <w:spacing w:line="240" w:lineRule="auto"/>
              <w:rPr>
                <w:rFonts w:ascii="Arial" w:hAnsi="Arial"/>
              </w:rPr>
            </w:pPr>
            <w:r w:rsidRPr="00C8192D">
              <w:rPr>
                <w:rFonts w:ascii="Arial" w:hAnsi="Arial"/>
                <w:b/>
              </w:rPr>
              <w:t>Conclusions:</w:t>
            </w:r>
            <w:r w:rsidR="00F710AD">
              <w:rPr>
                <w:rFonts w:ascii="Arial" w:hAnsi="Arial"/>
              </w:rPr>
              <w:t xml:space="preserve"> </w:t>
            </w:r>
          </w:p>
          <w:p w14:paraId="2B777301" w14:textId="7BE4CA89" w:rsidR="00467207" w:rsidRPr="00172A31" w:rsidRDefault="00172A31" w:rsidP="00374966">
            <w:pPr>
              <w:spacing w:line="240" w:lineRule="auto"/>
              <w:rPr>
                <w:rFonts w:ascii="Arial" w:hAnsi="Arial"/>
                <w:lang w:val="en-GB"/>
              </w:rPr>
            </w:pPr>
            <w:r>
              <w:rPr>
                <w:rFonts w:ascii="Arial" w:hAnsi="Arial"/>
              </w:rPr>
              <w:t xml:space="preserve">      </w:t>
            </w:r>
            <w:r w:rsidRPr="00172A31">
              <w:rPr>
                <w:rFonts w:ascii="Arial" w:hAnsi="Arial"/>
              </w:rPr>
              <w:t xml:space="preserve">Cylindrical, smooth, flattened fibers can be observed in all </w:t>
            </w:r>
            <w:proofErr w:type="spellStart"/>
            <w:r w:rsidRPr="00172A31">
              <w:rPr>
                <w:rFonts w:ascii="Arial" w:hAnsi="Arial"/>
              </w:rPr>
              <w:t>optimised</w:t>
            </w:r>
            <w:proofErr w:type="spellEnd"/>
            <w:r w:rsidRPr="00172A31">
              <w:rPr>
                <w:rFonts w:ascii="Arial" w:hAnsi="Arial"/>
              </w:rPr>
              <w:t xml:space="preserve"> </w:t>
            </w:r>
            <w:proofErr w:type="spellStart"/>
            <w:r w:rsidRPr="00172A31">
              <w:rPr>
                <w:rFonts w:ascii="Arial" w:hAnsi="Arial"/>
              </w:rPr>
              <w:t>electrospun</w:t>
            </w:r>
            <w:proofErr w:type="spellEnd"/>
            <w:r w:rsidRPr="00172A31">
              <w:rPr>
                <w:rFonts w:ascii="Arial" w:hAnsi="Arial"/>
              </w:rPr>
              <w:t xml:space="preserve"> fibers. No drug crystals or bead-on-string morphology are visible on the surfaces or outside of the freshly prepared fibers, suggesting a homogeneous product formed between polymers and APIs. The average diameter of the product is around 550nm. Clear core-shell structure can be observed through the TEM results.</w:t>
            </w:r>
          </w:p>
        </w:tc>
      </w:tr>
    </w:tbl>
    <w:p w14:paraId="7A6408B9" w14:textId="77777777" w:rsidR="002A6B96" w:rsidRDefault="002A6B96" w:rsidP="00467207">
      <w:pPr>
        <w:rPr>
          <w:rFonts w:ascii="Arial" w:hAnsi="Arial" w:cs="Arial"/>
        </w:rPr>
      </w:pPr>
    </w:p>
    <w:p w14:paraId="6AAF9FAF" w14:textId="77E1A66C"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42F38"/>
    <w:multiLevelType w:val="hybridMultilevel"/>
    <w:tmpl w:val="0A92D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469673">
    <w:abstractNumId w:val="0"/>
  </w:num>
  <w:num w:numId="2" w16cid:durableId="761218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172A31"/>
    <w:rsid w:val="00174437"/>
    <w:rsid w:val="001939AF"/>
    <w:rsid w:val="00197EC0"/>
    <w:rsid w:val="001A6B42"/>
    <w:rsid w:val="002569B1"/>
    <w:rsid w:val="002A6B96"/>
    <w:rsid w:val="002C4540"/>
    <w:rsid w:val="00374966"/>
    <w:rsid w:val="00381602"/>
    <w:rsid w:val="003A7B6A"/>
    <w:rsid w:val="003D0A78"/>
    <w:rsid w:val="003E6DEF"/>
    <w:rsid w:val="00460ABA"/>
    <w:rsid w:val="00467207"/>
    <w:rsid w:val="004A64DD"/>
    <w:rsid w:val="004B18C6"/>
    <w:rsid w:val="004D7D60"/>
    <w:rsid w:val="005162DB"/>
    <w:rsid w:val="005301C0"/>
    <w:rsid w:val="005556FD"/>
    <w:rsid w:val="005C3469"/>
    <w:rsid w:val="00686768"/>
    <w:rsid w:val="00717CE7"/>
    <w:rsid w:val="0073272B"/>
    <w:rsid w:val="00770BAE"/>
    <w:rsid w:val="00791851"/>
    <w:rsid w:val="00801C54"/>
    <w:rsid w:val="008912D0"/>
    <w:rsid w:val="008C715D"/>
    <w:rsid w:val="00972FB0"/>
    <w:rsid w:val="009B7EC2"/>
    <w:rsid w:val="00A34DB9"/>
    <w:rsid w:val="00A631D5"/>
    <w:rsid w:val="00AB0613"/>
    <w:rsid w:val="00AC1A57"/>
    <w:rsid w:val="00AE77F8"/>
    <w:rsid w:val="00B053D3"/>
    <w:rsid w:val="00B223BC"/>
    <w:rsid w:val="00B852B0"/>
    <w:rsid w:val="00BA1BF0"/>
    <w:rsid w:val="00C8087A"/>
    <w:rsid w:val="00D16D0D"/>
    <w:rsid w:val="00D2501D"/>
    <w:rsid w:val="00D72B3E"/>
    <w:rsid w:val="00D96D21"/>
    <w:rsid w:val="00E20280"/>
    <w:rsid w:val="00E84BD7"/>
    <w:rsid w:val="00E94B41"/>
    <w:rsid w:val="00EA519D"/>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paragraph" w:styleId="NormalWeb">
    <w:name w:val="Normal (Web)"/>
    <w:basedOn w:val="Normal"/>
    <w:uiPriority w:val="99"/>
    <w:semiHidden/>
    <w:unhideWhenUsed/>
    <w:rsid w:val="004A64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9371">
      <w:bodyDiv w:val="1"/>
      <w:marLeft w:val="0"/>
      <w:marRight w:val="0"/>
      <w:marTop w:val="0"/>
      <w:marBottom w:val="0"/>
      <w:divBdr>
        <w:top w:val="none" w:sz="0" w:space="0" w:color="auto"/>
        <w:left w:val="none" w:sz="0" w:space="0" w:color="auto"/>
        <w:bottom w:val="none" w:sz="0" w:space="0" w:color="auto"/>
        <w:right w:val="none" w:sz="0" w:space="0" w:color="auto"/>
      </w:divBdr>
    </w:div>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391975450">
      <w:bodyDiv w:val="1"/>
      <w:marLeft w:val="0"/>
      <w:marRight w:val="0"/>
      <w:marTop w:val="0"/>
      <w:marBottom w:val="0"/>
      <w:divBdr>
        <w:top w:val="none" w:sz="0" w:space="0" w:color="auto"/>
        <w:left w:val="none" w:sz="0" w:space="0" w:color="auto"/>
        <w:bottom w:val="none" w:sz="0" w:space="0" w:color="auto"/>
        <w:right w:val="none" w:sz="0" w:space="0" w:color="auto"/>
      </w:divBdr>
    </w:div>
    <w:div w:id="493300030">
      <w:bodyDiv w:val="1"/>
      <w:marLeft w:val="0"/>
      <w:marRight w:val="0"/>
      <w:marTop w:val="0"/>
      <w:marBottom w:val="0"/>
      <w:divBdr>
        <w:top w:val="none" w:sz="0" w:space="0" w:color="auto"/>
        <w:left w:val="none" w:sz="0" w:space="0" w:color="auto"/>
        <w:bottom w:val="none" w:sz="0" w:space="0" w:color="auto"/>
        <w:right w:val="none" w:sz="0" w:space="0" w:color="auto"/>
      </w:divBdr>
    </w:div>
    <w:div w:id="791366319">
      <w:bodyDiv w:val="1"/>
      <w:marLeft w:val="0"/>
      <w:marRight w:val="0"/>
      <w:marTop w:val="0"/>
      <w:marBottom w:val="0"/>
      <w:divBdr>
        <w:top w:val="none" w:sz="0" w:space="0" w:color="auto"/>
        <w:left w:val="none" w:sz="0" w:space="0" w:color="auto"/>
        <w:bottom w:val="none" w:sz="0" w:space="0" w:color="auto"/>
        <w:right w:val="none" w:sz="0" w:space="0" w:color="auto"/>
      </w:divBdr>
    </w:div>
    <w:div w:id="900824641">
      <w:bodyDiv w:val="1"/>
      <w:marLeft w:val="0"/>
      <w:marRight w:val="0"/>
      <w:marTop w:val="0"/>
      <w:marBottom w:val="0"/>
      <w:divBdr>
        <w:top w:val="none" w:sz="0" w:space="0" w:color="auto"/>
        <w:left w:val="none" w:sz="0" w:space="0" w:color="auto"/>
        <w:bottom w:val="none" w:sz="0" w:space="0" w:color="auto"/>
        <w:right w:val="none" w:sz="0" w:space="0" w:color="auto"/>
      </w:divBdr>
    </w:div>
    <w:div w:id="1443650152">
      <w:bodyDiv w:val="1"/>
      <w:marLeft w:val="0"/>
      <w:marRight w:val="0"/>
      <w:marTop w:val="0"/>
      <w:marBottom w:val="0"/>
      <w:divBdr>
        <w:top w:val="none" w:sz="0" w:space="0" w:color="auto"/>
        <w:left w:val="none" w:sz="0" w:space="0" w:color="auto"/>
        <w:bottom w:val="none" w:sz="0" w:space="0" w:color="auto"/>
        <w:right w:val="none" w:sz="0" w:space="0" w:color="auto"/>
      </w:divBdr>
    </w:div>
    <w:div w:id="1509980104">
      <w:bodyDiv w:val="1"/>
      <w:marLeft w:val="0"/>
      <w:marRight w:val="0"/>
      <w:marTop w:val="0"/>
      <w:marBottom w:val="0"/>
      <w:divBdr>
        <w:top w:val="none" w:sz="0" w:space="0" w:color="auto"/>
        <w:left w:val="none" w:sz="0" w:space="0" w:color="auto"/>
        <w:bottom w:val="none" w:sz="0" w:space="0" w:color="auto"/>
        <w:right w:val="none" w:sz="0" w:space="0" w:color="auto"/>
      </w:divBdr>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 w:id="19644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Zhao, Lixiang</cp:lastModifiedBy>
  <cp:revision>9</cp:revision>
  <dcterms:created xsi:type="dcterms:W3CDTF">2020-01-06T10:32:00Z</dcterms:created>
  <dcterms:modified xsi:type="dcterms:W3CDTF">2023-04-21T20:31:00Z</dcterms:modified>
</cp:coreProperties>
</file>