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08F03FF0" w:rsidR="00467207" w:rsidRPr="00C8192D" w:rsidRDefault="001B2637" w:rsidP="001B2637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A55C0">
              <w:rPr>
                <w:rFonts w:ascii="Arial" w:hAnsi="Arial" w:cs="Arial"/>
                <w:b/>
                <w:szCs w:val="28"/>
              </w:rPr>
              <w:t xml:space="preserve">Development </w:t>
            </w:r>
            <w:r>
              <w:rPr>
                <w:rFonts w:ascii="Arial" w:hAnsi="Arial" w:cs="Arial"/>
                <w:b/>
                <w:szCs w:val="28"/>
              </w:rPr>
              <w:t>o</w:t>
            </w:r>
            <w:r w:rsidRPr="005A55C0">
              <w:rPr>
                <w:rFonts w:ascii="Arial" w:hAnsi="Arial" w:cs="Arial"/>
                <w:b/>
                <w:szCs w:val="28"/>
              </w:rPr>
              <w:t xml:space="preserve">f </w:t>
            </w:r>
            <w:r w:rsidR="00001392">
              <w:rPr>
                <w:rFonts w:ascii="Arial" w:hAnsi="Arial" w:cs="Arial"/>
                <w:b/>
                <w:szCs w:val="28"/>
              </w:rPr>
              <w:t>a</w:t>
            </w:r>
            <w:r w:rsidRPr="005A55C0">
              <w:rPr>
                <w:rFonts w:ascii="Arial" w:hAnsi="Arial" w:cs="Arial"/>
                <w:b/>
                <w:szCs w:val="28"/>
              </w:rPr>
              <w:t xml:space="preserve"> Drug-Eluting Composite </w:t>
            </w:r>
            <w:r>
              <w:rPr>
                <w:rFonts w:ascii="Arial" w:hAnsi="Arial" w:cs="Arial"/>
                <w:b/>
                <w:szCs w:val="28"/>
              </w:rPr>
              <w:t>f</w:t>
            </w:r>
            <w:r w:rsidRPr="005A55C0">
              <w:rPr>
                <w:rFonts w:ascii="Arial" w:hAnsi="Arial" w:cs="Arial"/>
                <w:b/>
                <w:szCs w:val="28"/>
              </w:rPr>
              <w:t xml:space="preserve">or Reducing Post-Surgical Inflammation </w:t>
            </w:r>
            <w:r>
              <w:rPr>
                <w:rFonts w:ascii="Arial" w:hAnsi="Arial" w:cs="Arial"/>
                <w:b/>
                <w:szCs w:val="28"/>
              </w:rPr>
              <w:t>a</w:t>
            </w:r>
            <w:r w:rsidRPr="005A55C0">
              <w:rPr>
                <w:rFonts w:ascii="Arial" w:hAnsi="Arial" w:cs="Arial"/>
                <w:b/>
                <w:szCs w:val="28"/>
              </w:rPr>
              <w:t xml:space="preserve">nd Fibrosis </w:t>
            </w:r>
            <w:r>
              <w:rPr>
                <w:rFonts w:ascii="Arial" w:hAnsi="Arial" w:cs="Arial"/>
                <w:b/>
                <w:szCs w:val="28"/>
              </w:rPr>
              <w:t>i</w:t>
            </w:r>
            <w:r w:rsidRPr="005A55C0">
              <w:rPr>
                <w:rFonts w:ascii="Arial" w:hAnsi="Arial" w:cs="Arial"/>
                <w:b/>
                <w:szCs w:val="28"/>
              </w:rPr>
              <w:t>n Glaucoma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7328AC00" w14:textId="223A2E54" w:rsidR="001B2637" w:rsidRPr="001B2637" w:rsidRDefault="001B2637" w:rsidP="001B26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B2637">
              <w:rPr>
                <w:rFonts w:ascii="Arial" w:hAnsi="Arial"/>
              </w:rPr>
              <w:t>Golestan Salimbeigi</w:t>
            </w:r>
            <w:r w:rsidRPr="001B2637">
              <w:rPr>
                <w:rFonts w:ascii="Arial" w:hAnsi="Arial"/>
                <w:vertAlign w:val="superscript"/>
              </w:rPr>
              <w:t>1</w:t>
            </w:r>
            <w:r w:rsidRPr="001B2637">
              <w:rPr>
                <w:rFonts w:ascii="Arial" w:hAnsi="Arial"/>
              </w:rPr>
              <w:t>, Tauseef Ahmad</w:t>
            </w:r>
            <w:r w:rsidRPr="001B2637">
              <w:rPr>
                <w:rFonts w:ascii="Arial" w:hAnsi="Arial"/>
                <w:vertAlign w:val="superscript"/>
              </w:rPr>
              <w:t>1</w:t>
            </w:r>
            <w:r w:rsidRPr="001B2637">
              <w:rPr>
                <w:rFonts w:ascii="Arial" w:hAnsi="Arial"/>
              </w:rPr>
              <w:t>, Nina Pohler</w:t>
            </w:r>
            <w:r w:rsidRPr="001B2637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,</w:t>
            </w:r>
            <w:r w:rsidRPr="001B2637">
              <w:rPr>
                <w:rFonts w:ascii="Arial" w:hAnsi="Arial"/>
              </w:rPr>
              <w:t xml:space="preserve"> Mark Lemoine</w:t>
            </w:r>
            <w:r w:rsidRPr="001B2637">
              <w:rPr>
                <w:rFonts w:ascii="Arial" w:hAnsi="Arial"/>
                <w:vertAlign w:val="superscript"/>
              </w:rPr>
              <w:t>1,2</w:t>
            </w:r>
            <w:r w:rsidRPr="001B2637">
              <w:rPr>
                <w:rFonts w:ascii="Arial" w:hAnsi="Arial"/>
              </w:rPr>
              <w:t>, Colm O’Brien</w:t>
            </w:r>
            <w:r w:rsidRPr="001B2637">
              <w:rPr>
                <w:rFonts w:ascii="Arial" w:hAnsi="Arial"/>
                <w:vertAlign w:val="superscript"/>
              </w:rPr>
              <w:t>3,4</w:t>
            </w:r>
            <w:r w:rsidRPr="001B2637">
              <w:rPr>
                <w:rFonts w:ascii="Arial" w:hAnsi="Arial"/>
              </w:rPr>
              <w:t>, Fergal O’Brien</w:t>
            </w:r>
            <w:r w:rsidRPr="001B2637">
              <w:rPr>
                <w:rFonts w:ascii="Arial" w:hAnsi="Arial"/>
                <w:vertAlign w:val="superscript"/>
              </w:rPr>
              <w:t>1,2</w:t>
            </w:r>
            <w:r w:rsidRPr="001B2637">
              <w:rPr>
                <w:rFonts w:ascii="Arial" w:hAnsi="Arial"/>
              </w:rPr>
              <w:t>, Alan Hibbitts</w:t>
            </w:r>
            <w:r w:rsidRPr="001B2637">
              <w:rPr>
                <w:rFonts w:ascii="Arial" w:hAnsi="Arial"/>
                <w:vertAlign w:val="superscript"/>
              </w:rPr>
              <w:t>1,2 *</w:t>
            </w:r>
          </w:p>
          <w:p w14:paraId="02AF625D" w14:textId="73E39375" w:rsidR="00972FB0" w:rsidRPr="00972FB0" w:rsidRDefault="00972FB0" w:rsidP="001B2637">
            <w:pPr>
              <w:pStyle w:val="ListParagraph"/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29999C0A" w14:textId="77777777" w:rsidR="001B2637" w:rsidRPr="001B2637" w:rsidRDefault="001B2637" w:rsidP="001B26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B2637">
              <w:rPr>
                <w:rFonts w:ascii="Arial" w:hAnsi="Arial"/>
                <w:vertAlign w:val="superscript"/>
              </w:rPr>
              <w:t>1</w:t>
            </w:r>
            <w:r w:rsidRPr="001B2637">
              <w:rPr>
                <w:rFonts w:ascii="Arial" w:hAnsi="Arial"/>
              </w:rPr>
              <w:t>Tissue Engineering Research Group, Royal College of Surgeons in Ireland, Dublin, Ireland.</w:t>
            </w:r>
          </w:p>
          <w:p w14:paraId="0503FAD6" w14:textId="77777777" w:rsidR="001B2637" w:rsidRPr="001B2637" w:rsidRDefault="001B2637" w:rsidP="001B26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B2637">
              <w:rPr>
                <w:rFonts w:ascii="Arial" w:hAnsi="Arial"/>
                <w:vertAlign w:val="superscript"/>
              </w:rPr>
              <w:t>2</w:t>
            </w:r>
            <w:r w:rsidRPr="001B2637">
              <w:rPr>
                <w:rFonts w:ascii="Arial" w:hAnsi="Arial"/>
              </w:rPr>
              <w:t xml:space="preserve"> Trinity Centre for Biomedical Engineering, Trinity College Dublin, Dublin, Ireland.</w:t>
            </w:r>
          </w:p>
          <w:p w14:paraId="04BA96FF" w14:textId="77777777" w:rsidR="001B2637" w:rsidRPr="001B2637" w:rsidRDefault="001B2637" w:rsidP="001B26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B2637">
              <w:rPr>
                <w:rFonts w:ascii="Arial" w:hAnsi="Arial"/>
                <w:vertAlign w:val="superscript"/>
              </w:rPr>
              <w:t>3</w:t>
            </w:r>
            <w:r w:rsidRPr="001B2637">
              <w:rPr>
                <w:rFonts w:ascii="Arial" w:hAnsi="Arial"/>
              </w:rPr>
              <w:t>Dept of Anatomy, University College Dublin, Dublin, Ireland.</w:t>
            </w:r>
          </w:p>
          <w:p w14:paraId="1E6D58FE" w14:textId="3E9EC563" w:rsidR="00EA519D" w:rsidRPr="001B2637" w:rsidRDefault="001B2637" w:rsidP="001B263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B2637">
              <w:rPr>
                <w:rFonts w:ascii="Arial" w:hAnsi="Arial"/>
                <w:vertAlign w:val="superscript"/>
              </w:rPr>
              <w:t>4</w:t>
            </w:r>
            <w:r w:rsidRPr="001B2637">
              <w:rPr>
                <w:rFonts w:ascii="Arial" w:hAnsi="Arial"/>
              </w:rPr>
              <w:t>Institute of Ophthalmology, Mater Misericordiae University Hospital, Dublin, Ireland.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5F8C2C71" w:rsidR="00EA519D" w:rsidRPr="00EA519D" w:rsidRDefault="00467207" w:rsidP="00001392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292038" w:rsidRPr="00292038">
              <w:rPr>
                <w:rFonts w:ascii="Arial" w:hAnsi="Arial"/>
              </w:rPr>
              <w:t xml:space="preserve">Glaucoma is often associated with disrupted aqueous </w:t>
            </w:r>
            <w:proofErr w:type="spellStart"/>
            <w:r w:rsidR="00292038" w:rsidRPr="00292038">
              <w:rPr>
                <w:rFonts w:ascii="Arial" w:hAnsi="Arial"/>
              </w:rPr>
              <w:t>humour</w:t>
            </w:r>
            <w:proofErr w:type="spellEnd"/>
            <w:r w:rsidR="00292038" w:rsidRPr="00292038">
              <w:rPr>
                <w:rFonts w:ascii="Arial" w:hAnsi="Arial"/>
              </w:rPr>
              <w:t xml:space="preserve"> drainage in the eye. This leads to elevated intraocular pressure (IOP) that causes permanent damage to the </w:t>
            </w:r>
            <w:r w:rsidR="00A35E16">
              <w:rPr>
                <w:rFonts w:ascii="Arial" w:hAnsi="Arial"/>
              </w:rPr>
              <w:t>optic</w:t>
            </w:r>
            <w:r w:rsidR="00292038" w:rsidRPr="00292038">
              <w:rPr>
                <w:rFonts w:ascii="Arial" w:hAnsi="Arial"/>
              </w:rPr>
              <w:t xml:space="preserve"> nerve resulting in progressive vision loss.</w:t>
            </w:r>
            <w:r w:rsidR="00B20457">
              <w:rPr>
                <w:rFonts w:ascii="Arial" w:hAnsi="Arial"/>
              </w:rPr>
              <w:t xml:space="preserve"> </w:t>
            </w:r>
            <w:r w:rsidR="00B20457" w:rsidRPr="00B20457">
              <w:rPr>
                <w:rFonts w:ascii="Arial" w:hAnsi="Arial"/>
              </w:rPr>
              <w:t>The gold standard surgery to treat glaucoma is trabeculectomy</w:t>
            </w:r>
            <w:r w:rsidR="00A35E16">
              <w:rPr>
                <w:rFonts w:ascii="Arial" w:hAnsi="Arial"/>
              </w:rPr>
              <w:t xml:space="preserve"> followed by application of the anti-metabolite Mitomycin C (MMC)</w:t>
            </w:r>
            <w:r w:rsidR="00B20457">
              <w:rPr>
                <w:rFonts w:ascii="Arial" w:hAnsi="Arial"/>
              </w:rPr>
              <w:t xml:space="preserve">. However, </w:t>
            </w:r>
            <w:r w:rsidR="00B20457" w:rsidRPr="00B20457">
              <w:rPr>
                <w:rFonts w:ascii="Arial" w:hAnsi="Arial"/>
              </w:rPr>
              <w:t>a 1-year failure rate of 9%, rising to 23% by year 5</w:t>
            </w:r>
            <w:r w:rsidR="00B20457">
              <w:rPr>
                <w:rFonts w:ascii="Arial" w:hAnsi="Arial"/>
              </w:rPr>
              <w:t xml:space="preserve"> due to </w:t>
            </w:r>
            <w:r w:rsidR="00B20457" w:rsidRPr="00B20457">
              <w:rPr>
                <w:rFonts w:ascii="Arial" w:hAnsi="Arial"/>
              </w:rPr>
              <w:t>post-operative inflammation, angiogenesis, and fibrosis</w:t>
            </w:r>
            <w:r w:rsidR="00B20457">
              <w:rPr>
                <w:rFonts w:ascii="Arial" w:hAnsi="Arial"/>
              </w:rPr>
              <w:t xml:space="preserve"> r</w:t>
            </w:r>
            <w:r w:rsidR="00A35E16">
              <w:rPr>
                <w:rFonts w:ascii="Arial" w:hAnsi="Arial"/>
              </w:rPr>
              <w:t>esults in unacceptable numbers of patients requiring repeat surgeries or losing their sight entirely.</w:t>
            </w:r>
            <w:r w:rsidR="00B20457">
              <w:rPr>
                <w:rFonts w:ascii="Arial" w:hAnsi="Arial"/>
              </w:rPr>
              <w:t xml:space="preserve"> Currently, </w:t>
            </w:r>
            <w:r w:rsidR="00A35E16">
              <w:rPr>
                <w:rFonts w:ascii="Arial" w:hAnsi="Arial"/>
              </w:rPr>
              <w:t xml:space="preserve">MMC and </w:t>
            </w:r>
            <w:r w:rsidR="00B20457" w:rsidRPr="00B20457">
              <w:rPr>
                <w:rFonts w:ascii="Arial" w:hAnsi="Arial"/>
              </w:rPr>
              <w:t>post-surgery patient administered corticosteroid eye drops</w:t>
            </w:r>
            <w:r w:rsidR="00D4736B">
              <w:rPr>
                <w:rFonts w:ascii="Arial" w:hAnsi="Arial"/>
              </w:rPr>
              <w:t xml:space="preserve"> </w:t>
            </w:r>
            <w:r w:rsidR="00A35E16">
              <w:rPr>
                <w:rFonts w:ascii="Arial" w:hAnsi="Arial"/>
              </w:rPr>
              <w:t>are</w:t>
            </w:r>
            <w:r w:rsidR="00D4736B">
              <w:rPr>
                <w:rFonts w:ascii="Arial" w:hAnsi="Arial"/>
              </w:rPr>
              <w:t xml:space="preserve"> used to address this</w:t>
            </w:r>
            <w:r w:rsidR="00A35E16">
              <w:rPr>
                <w:rFonts w:ascii="Arial" w:hAnsi="Arial"/>
              </w:rPr>
              <w:t>.</w:t>
            </w:r>
            <w:r w:rsidR="00D4736B">
              <w:rPr>
                <w:rFonts w:ascii="Arial" w:hAnsi="Arial"/>
              </w:rPr>
              <w:t xml:space="preserve"> However, they are limited by cost, </w:t>
            </w:r>
            <w:r w:rsidR="00D4736B" w:rsidRPr="00D4736B">
              <w:rPr>
                <w:rFonts w:ascii="Arial" w:hAnsi="Arial"/>
              </w:rPr>
              <w:t>side-effects</w:t>
            </w:r>
            <w:r w:rsidR="00D4736B">
              <w:rPr>
                <w:rFonts w:ascii="Arial" w:hAnsi="Arial"/>
              </w:rPr>
              <w:t xml:space="preserve"> and </w:t>
            </w:r>
            <w:r w:rsidR="00D4736B" w:rsidRPr="00D4736B">
              <w:rPr>
                <w:rFonts w:ascii="Arial" w:hAnsi="Arial"/>
              </w:rPr>
              <w:t>poor patient compliance</w:t>
            </w:r>
            <w:r w:rsidR="00D4736B">
              <w:rPr>
                <w:rFonts w:ascii="Arial" w:hAnsi="Arial"/>
              </w:rPr>
              <w:t xml:space="preserve">. To this end, we have developed a </w:t>
            </w:r>
            <w:proofErr w:type="spellStart"/>
            <w:r w:rsidR="00A35E16">
              <w:rPr>
                <w:rFonts w:ascii="Arial" w:hAnsi="Arial"/>
              </w:rPr>
              <w:t>Decorin</w:t>
            </w:r>
            <w:proofErr w:type="spellEnd"/>
            <w:r w:rsidR="00A35E16">
              <w:rPr>
                <w:rFonts w:ascii="Arial" w:hAnsi="Arial"/>
              </w:rPr>
              <w:t xml:space="preserve"> (Dec)-</w:t>
            </w:r>
            <w:r w:rsidR="00D4736B" w:rsidRPr="00D4736B">
              <w:rPr>
                <w:rFonts w:ascii="Arial" w:hAnsi="Arial"/>
              </w:rPr>
              <w:t>-modified hyaluronic acid (</w:t>
            </w:r>
            <w:proofErr w:type="spellStart"/>
            <w:r w:rsidR="00D4736B" w:rsidRPr="00D4736B">
              <w:rPr>
                <w:rFonts w:ascii="Arial" w:hAnsi="Arial"/>
              </w:rPr>
              <w:t>HyA</w:t>
            </w:r>
            <w:proofErr w:type="spellEnd"/>
            <w:r w:rsidR="00D4736B" w:rsidRPr="00D4736B">
              <w:rPr>
                <w:rFonts w:ascii="Arial" w:hAnsi="Arial"/>
              </w:rPr>
              <w:t xml:space="preserve">) hydrogel-polycaprolactone (PCL) composite drug-eluting </w:t>
            </w:r>
            <w:r w:rsidR="00D4736B" w:rsidRPr="00AB3A50">
              <w:rPr>
                <w:rFonts w:ascii="Arial" w:hAnsi="Arial"/>
              </w:rPr>
              <w:t>device</w:t>
            </w:r>
            <w:r w:rsidR="00F454E8" w:rsidRPr="00AB3A50">
              <w:rPr>
                <w:rFonts w:ascii="Arial" w:hAnsi="Arial"/>
              </w:rPr>
              <w:t xml:space="preserve"> to </w:t>
            </w:r>
            <w:r w:rsidR="00A35E16" w:rsidRPr="00AB3A50">
              <w:rPr>
                <w:rFonts w:ascii="Arial" w:hAnsi="Arial"/>
              </w:rPr>
              <w:t>eliminate complications and remove the need for drops</w:t>
            </w:r>
            <w:r w:rsidR="00F454E8" w:rsidRPr="00AB3A50">
              <w:rPr>
                <w:rFonts w:ascii="Arial" w:hAnsi="Arial"/>
              </w:rPr>
              <w:t>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32A8CB99" w:rsidR="00EA519D" w:rsidRPr="00EA519D" w:rsidRDefault="00467207" w:rsidP="00001392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17678E" w:rsidRPr="0017678E">
              <w:rPr>
                <w:rFonts w:ascii="Arial" w:hAnsi="Arial"/>
              </w:rPr>
              <w:t>Prednisolone</w:t>
            </w:r>
            <w:r w:rsidR="0017678E">
              <w:rPr>
                <w:rFonts w:ascii="Arial" w:hAnsi="Arial"/>
              </w:rPr>
              <w:t xml:space="preserve"> or </w:t>
            </w:r>
            <w:r w:rsidR="0017678E" w:rsidRPr="0017678E">
              <w:rPr>
                <w:rFonts w:ascii="Arial" w:hAnsi="Arial"/>
              </w:rPr>
              <w:t>dexamethasone loaded PCL</w:t>
            </w:r>
            <w:r w:rsidR="0017678E">
              <w:rPr>
                <w:rFonts w:ascii="Arial" w:hAnsi="Arial"/>
              </w:rPr>
              <w:t xml:space="preserve"> was 3D printed and characterized in terms mechanical properties. </w:t>
            </w:r>
            <w:r w:rsidR="00A35E16">
              <w:rPr>
                <w:rFonts w:ascii="Arial" w:hAnsi="Arial"/>
              </w:rPr>
              <w:t>Dec</w:t>
            </w:r>
            <w:r w:rsidR="0017678E" w:rsidRPr="0017678E">
              <w:rPr>
                <w:rFonts w:ascii="Arial" w:hAnsi="Arial"/>
              </w:rPr>
              <w:t>-</w:t>
            </w:r>
            <w:proofErr w:type="spellStart"/>
            <w:r w:rsidR="0017678E" w:rsidRPr="0017678E">
              <w:rPr>
                <w:rFonts w:ascii="Arial" w:hAnsi="Arial"/>
              </w:rPr>
              <w:t>HyA</w:t>
            </w:r>
            <w:proofErr w:type="spellEnd"/>
            <w:r w:rsidR="0017678E" w:rsidRPr="0017678E">
              <w:rPr>
                <w:rFonts w:ascii="Arial" w:hAnsi="Arial"/>
              </w:rPr>
              <w:t xml:space="preserve"> hydrogels were chemically crosslinked, freeze-dried and assessed for percentage crosslinking, swelling speed, </w:t>
            </w:r>
            <w:r w:rsidR="0017678E">
              <w:rPr>
                <w:rFonts w:ascii="Arial" w:hAnsi="Arial"/>
              </w:rPr>
              <w:t xml:space="preserve">and </w:t>
            </w:r>
            <w:r w:rsidR="0017678E" w:rsidRPr="0017678E">
              <w:rPr>
                <w:rFonts w:ascii="Arial" w:hAnsi="Arial"/>
              </w:rPr>
              <w:t>degradation</w:t>
            </w:r>
            <w:r w:rsidR="0017678E">
              <w:rPr>
                <w:rFonts w:ascii="Arial" w:hAnsi="Arial"/>
              </w:rPr>
              <w:t xml:space="preserve">. </w:t>
            </w:r>
            <w:r w:rsidR="0017678E" w:rsidRPr="0017678E">
              <w:rPr>
                <w:rFonts w:ascii="Arial" w:hAnsi="Arial"/>
              </w:rPr>
              <w:t xml:space="preserve">The </w:t>
            </w:r>
            <w:r w:rsidR="0017678E">
              <w:rPr>
                <w:rFonts w:ascii="Arial" w:hAnsi="Arial"/>
              </w:rPr>
              <w:t xml:space="preserve">drug-loaded </w:t>
            </w:r>
            <w:r w:rsidR="0017678E" w:rsidRPr="0017678E">
              <w:rPr>
                <w:rFonts w:ascii="Arial" w:hAnsi="Arial"/>
              </w:rPr>
              <w:t>PCL mesh was surrounded by</w:t>
            </w:r>
            <w:r w:rsidR="00597A43">
              <w:rPr>
                <w:rFonts w:ascii="Arial" w:hAnsi="Arial"/>
              </w:rPr>
              <w:t xml:space="preserve"> </w:t>
            </w:r>
            <w:r w:rsidR="00A35E16">
              <w:rPr>
                <w:rFonts w:ascii="Arial" w:hAnsi="Arial"/>
              </w:rPr>
              <w:t>Dec</w:t>
            </w:r>
            <w:r w:rsidR="0017678E">
              <w:rPr>
                <w:rFonts w:ascii="Arial" w:hAnsi="Arial"/>
              </w:rPr>
              <w:t xml:space="preserve">-loaded </w:t>
            </w:r>
            <w:proofErr w:type="spellStart"/>
            <w:r w:rsidR="0017678E" w:rsidRPr="0017678E">
              <w:rPr>
                <w:rFonts w:ascii="Arial" w:hAnsi="Arial"/>
              </w:rPr>
              <w:t>HyA</w:t>
            </w:r>
            <w:proofErr w:type="spellEnd"/>
            <w:r w:rsidR="0017678E" w:rsidRPr="0017678E">
              <w:rPr>
                <w:rFonts w:ascii="Arial" w:hAnsi="Arial"/>
              </w:rPr>
              <w:t xml:space="preserve"> hydrogel </w:t>
            </w:r>
            <w:r w:rsidR="0017678E">
              <w:rPr>
                <w:rFonts w:ascii="Arial" w:hAnsi="Arial"/>
              </w:rPr>
              <w:t xml:space="preserve">to make the final </w:t>
            </w:r>
            <w:r w:rsidR="00EC2E1E">
              <w:rPr>
                <w:rFonts w:ascii="Arial" w:hAnsi="Arial"/>
              </w:rPr>
              <w:t>device</w:t>
            </w:r>
            <w:r w:rsidR="0017678E">
              <w:rPr>
                <w:rFonts w:ascii="Arial" w:hAnsi="Arial"/>
              </w:rPr>
              <w:t xml:space="preserve">. </w:t>
            </w:r>
            <w:r w:rsidR="00597A43" w:rsidRPr="00597A43">
              <w:rPr>
                <w:rFonts w:ascii="Arial" w:hAnsi="Arial"/>
              </w:rPr>
              <w:t xml:space="preserve">Drug release was assessed for 1-12 weeks depending </w:t>
            </w:r>
            <w:r w:rsidR="00EC2E1E">
              <w:rPr>
                <w:rFonts w:ascii="Arial" w:hAnsi="Arial"/>
              </w:rPr>
              <w:t>on the</w:t>
            </w:r>
            <w:r w:rsidR="00597A43" w:rsidRPr="00597A43">
              <w:rPr>
                <w:rFonts w:ascii="Arial" w:hAnsi="Arial"/>
              </w:rPr>
              <w:t xml:space="preserve"> drug. Anti-fibrotic effect was </w:t>
            </w:r>
            <w:r w:rsidR="00E85F5E">
              <w:rPr>
                <w:rFonts w:ascii="Arial" w:hAnsi="Arial"/>
              </w:rPr>
              <w:t>studied</w:t>
            </w:r>
            <w:r w:rsidR="00597A43" w:rsidRPr="00597A43">
              <w:rPr>
                <w:rFonts w:ascii="Arial" w:hAnsi="Arial"/>
              </w:rPr>
              <w:t xml:space="preserve"> </w:t>
            </w:r>
            <w:r w:rsidR="00E85F5E">
              <w:rPr>
                <w:rFonts w:ascii="Arial" w:hAnsi="Arial"/>
              </w:rPr>
              <w:t>using</w:t>
            </w:r>
            <w:r w:rsidR="00597A43" w:rsidRPr="00597A43">
              <w:rPr>
                <w:rFonts w:ascii="Arial" w:hAnsi="Arial"/>
              </w:rPr>
              <w:t xml:space="preserve"> primary rabbit conjunctival fibroblasts (</w:t>
            </w:r>
            <w:proofErr w:type="spellStart"/>
            <w:r w:rsidR="00597A43" w:rsidRPr="00597A43">
              <w:rPr>
                <w:rFonts w:ascii="Arial" w:hAnsi="Arial"/>
              </w:rPr>
              <w:t>RconF</w:t>
            </w:r>
            <w:proofErr w:type="spellEnd"/>
            <w:r w:rsidR="00597A43" w:rsidRPr="00597A43">
              <w:rPr>
                <w:rFonts w:ascii="Arial" w:hAnsi="Arial"/>
              </w:rPr>
              <w:t xml:space="preserve">) stimulated with TGF-β </w:t>
            </w:r>
            <w:r w:rsidR="00597A43" w:rsidRPr="00755020">
              <w:rPr>
                <w:rFonts w:ascii="Arial" w:hAnsi="Arial"/>
                <w:i/>
                <w:iCs/>
              </w:rPr>
              <w:t>in vitro</w:t>
            </w:r>
            <w:r w:rsidR="00597A43">
              <w:rPr>
                <w:rFonts w:ascii="Arial" w:hAnsi="Arial"/>
              </w:rPr>
              <w:t>. Finally, d</w:t>
            </w:r>
            <w:r w:rsidR="00597A43" w:rsidRPr="00597A43">
              <w:rPr>
                <w:rFonts w:ascii="Arial" w:hAnsi="Arial"/>
              </w:rPr>
              <w:t xml:space="preserve">evice safety </w:t>
            </w:r>
            <w:r w:rsidR="00EC2E1E">
              <w:rPr>
                <w:rFonts w:ascii="Arial" w:hAnsi="Arial"/>
              </w:rPr>
              <w:t xml:space="preserve">and </w:t>
            </w:r>
            <w:r w:rsidR="00103043">
              <w:rPr>
                <w:rFonts w:ascii="Arial" w:hAnsi="Arial"/>
              </w:rPr>
              <w:t xml:space="preserve">efficacy </w:t>
            </w:r>
            <w:r w:rsidR="00597A43" w:rsidRPr="00597A43">
              <w:rPr>
                <w:rFonts w:ascii="Arial" w:hAnsi="Arial"/>
              </w:rPr>
              <w:t>w</w:t>
            </w:r>
            <w:r w:rsidR="00DE6D32">
              <w:rPr>
                <w:rFonts w:ascii="Arial" w:hAnsi="Arial"/>
              </w:rPr>
              <w:t>ere</w:t>
            </w:r>
            <w:r w:rsidR="00597A43" w:rsidRPr="00597A43">
              <w:rPr>
                <w:rFonts w:ascii="Arial" w:hAnsi="Arial"/>
              </w:rPr>
              <w:t xml:space="preserve"> assessed </w:t>
            </w:r>
            <w:r w:rsidR="00597A43" w:rsidRPr="00755020">
              <w:rPr>
                <w:rFonts w:ascii="Arial" w:hAnsi="Arial"/>
                <w:i/>
                <w:iCs/>
              </w:rPr>
              <w:t>in vivo</w:t>
            </w:r>
            <w:r w:rsidR="00597A43" w:rsidRPr="00597A43">
              <w:rPr>
                <w:rFonts w:ascii="Arial" w:hAnsi="Arial"/>
              </w:rPr>
              <w:t xml:space="preserve"> using a 28</w:t>
            </w:r>
            <w:r w:rsidR="00597A43">
              <w:rPr>
                <w:rFonts w:ascii="Arial" w:hAnsi="Arial"/>
              </w:rPr>
              <w:t>-</w:t>
            </w:r>
            <w:r w:rsidR="00597A43" w:rsidRPr="00597A43">
              <w:rPr>
                <w:rFonts w:ascii="Arial" w:hAnsi="Arial"/>
              </w:rPr>
              <w:t>day</w:t>
            </w:r>
            <w:r w:rsidR="00C91149">
              <w:rPr>
                <w:rFonts w:ascii="Arial" w:hAnsi="Arial"/>
              </w:rPr>
              <w:t xml:space="preserve"> trabeculectomy</w:t>
            </w:r>
            <w:r w:rsidR="00597A43" w:rsidRPr="00597A43">
              <w:rPr>
                <w:rFonts w:ascii="Arial" w:hAnsi="Arial"/>
              </w:rPr>
              <w:t xml:space="preserve"> study </w:t>
            </w:r>
            <w:r w:rsidR="00EC2E1E">
              <w:rPr>
                <w:rFonts w:ascii="Arial" w:hAnsi="Arial"/>
              </w:rPr>
              <w:t>on</w:t>
            </w:r>
            <w:r w:rsidR="00597A43" w:rsidRPr="00597A43">
              <w:rPr>
                <w:rFonts w:ascii="Arial" w:hAnsi="Arial"/>
              </w:rPr>
              <w:t xml:space="preserve"> New Zealand white Rabbits</w:t>
            </w:r>
            <w:r w:rsidR="00597A43">
              <w:rPr>
                <w:rFonts w:ascii="Arial" w:hAnsi="Arial"/>
              </w:rPr>
              <w:t>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28B7FC0B" w:rsidR="00564A36" w:rsidRPr="00954C81" w:rsidRDefault="00467207" w:rsidP="00001392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66733D">
              <w:rPr>
                <w:rFonts w:ascii="Arial" w:hAnsi="Arial"/>
              </w:rPr>
              <w:t xml:space="preserve">It was found that mechanical properties can be tuned by </w:t>
            </w:r>
            <w:r w:rsidR="0066733D" w:rsidRPr="0066733D">
              <w:rPr>
                <w:rFonts w:ascii="Arial" w:hAnsi="Arial"/>
              </w:rPr>
              <w:t>mesh dimensions and drug loading</w:t>
            </w:r>
            <w:r w:rsidR="00912B20">
              <w:rPr>
                <w:rFonts w:ascii="Arial" w:hAnsi="Arial"/>
              </w:rPr>
              <w:t xml:space="preserve">. </w:t>
            </w:r>
            <w:proofErr w:type="spellStart"/>
            <w:r w:rsidR="00912B20" w:rsidRPr="00912B20">
              <w:rPr>
                <w:rFonts w:ascii="Arial" w:hAnsi="Arial"/>
              </w:rPr>
              <w:t>HyA</w:t>
            </w:r>
            <w:proofErr w:type="spellEnd"/>
            <w:r w:rsidR="00912B20" w:rsidRPr="00912B20">
              <w:rPr>
                <w:rFonts w:ascii="Arial" w:hAnsi="Arial"/>
              </w:rPr>
              <w:t xml:space="preserve"> hydrogels were capable of rap</w:t>
            </w:r>
            <w:bookmarkStart w:id="0" w:name="_GoBack"/>
            <w:bookmarkEnd w:id="0"/>
            <w:r w:rsidR="00912B20" w:rsidRPr="00912B20">
              <w:rPr>
                <w:rFonts w:ascii="Arial" w:hAnsi="Arial"/>
              </w:rPr>
              <w:t xml:space="preserve">id swelling with full hydration in </w:t>
            </w:r>
            <w:r w:rsidR="00912B20">
              <w:rPr>
                <w:rFonts w:ascii="Arial" w:hAnsi="Arial"/>
              </w:rPr>
              <w:t xml:space="preserve">less than </w:t>
            </w:r>
            <w:r w:rsidR="00912B20" w:rsidRPr="00912B20">
              <w:rPr>
                <w:rFonts w:ascii="Arial" w:hAnsi="Arial"/>
              </w:rPr>
              <w:t>30 min</w:t>
            </w:r>
            <w:r w:rsidR="006E12E6">
              <w:rPr>
                <w:rFonts w:ascii="Arial" w:hAnsi="Arial"/>
              </w:rPr>
              <w:t>utes</w:t>
            </w:r>
            <w:r w:rsidR="00912B20" w:rsidRPr="00912B20">
              <w:rPr>
                <w:rFonts w:ascii="Arial" w:hAnsi="Arial"/>
              </w:rPr>
              <w:t xml:space="preserve"> and stability up to 4 weeks. Release of </w:t>
            </w:r>
            <w:r w:rsidR="00912B20">
              <w:rPr>
                <w:rFonts w:ascii="Arial" w:hAnsi="Arial"/>
              </w:rPr>
              <w:t>drug</w:t>
            </w:r>
            <w:r w:rsidR="00912B20" w:rsidRPr="00912B20">
              <w:rPr>
                <w:rFonts w:ascii="Arial" w:hAnsi="Arial"/>
              </w:rPr>
              <w:t xml:space="preserve"> from mesh-gel composites were found to exhibit a biphasic release with initial burst release followed by more gradual release</w:t>
            </w:r>
            <w:r w:rsidR="00912B20" w:rsidRPr="00912B20">
              <w:rPr>
                <w:rFonts w:ascii="Arial" w:hAnsi="Arial"/>
                <w:i/>
              </w:rPr>
              <w:t>. In vitro</w:t>
            </w:r>
            <w:r w:rsidR="00912B20" w:rsidRPr="00912B20">
              <w:rPr>
                <w:rFonts w:ascii="Arial" w:hAnsi="Arial"/>
              </w:rPr>
              <w:t xml:space="preserve"> </w:t>
            </w:r>
            <w:r w:rsidR="00912B20">
              <w:rPr>
                <w:rFonts w:ascii="Arial" w:hAnsi="Arial"/>
              </w:rPr>
              <w:t>analysis</w:t>
            </w:r>
            <w:r w:rsidR="00954C81">
              <w:rPr>
                <w:rFonts w:ascii="Arial" w:hAnsi="Arial"/>
              </w:rPr>
              <w:t xml:space="preserve"> revealed that anti-fibrotic effect was do</w:t>
            </w:r>
            <w:r w:rsidR="00324415">
              <w:rPr>
                <w:rFonts w:ascii="Arial" w:hAnsi="Arial"/>
              </w:rPr>
              <w:t>s</w:t>
            </w:r>
            <w:r w:rsidR="00954C81">
              <w:rPr>
                <w:rFonts w:ascii="Arial" w:hAnsi="Arial"/>
              </w:rPr>
              <w:t>e-dependent for both dexamethasone and prednisolone and that 1% loading resulted to the best performance.</w:t>
            </w:r>
            <w:r w:rsidR="00912B20" w:rsidRPr="00912B20">
              <w:rPr>
                <w:rFonts w:ascii="Arial" w:hAnsi="Arial"/>
              </w:rPr>
              <w:t xml:space="preserve"> </w:t>
            </w:r>
            <w:r w:rsidR="00954C81">
              <w:rPr>
                <w:rFonts w:ascii="Arial" w:hAnsi="Arial"/>
              </w:rPr>
              <w:t>Moreover,</w:t>
            </w:r>
            <w:r w:rsidR="00912B20" w:rsidRPr="00912B20">
              <w:rPr>
                <w:rFonts w:ascii="Arial" w:hAnsi="Arial"/>
              </w:rPr>
              <w:t xml:space="preserve"> a significant reduction in collagen deposition </w:t>
            </w:r>
            <w:r w:rsidR="00954C81">
              <w:rPr>
                <w:rFonts w:ascii="Arial" w:hAnsi="Arial"/>
              </w:rPr>
              <w:t xml:space="preserve">was observed </w:t>
            </w:r>
            <w:r w:rsidR="00912B20" w:rsidRPr="00912B20">
              <w:rPr>
                <w:rFonts w:ascii="Arial" w:hAnsi="Arial"/>
              </w:rPr>
              <w:t>at 1 week with a decrease of up to</w:t>
            </w:r>
            <w:r w:rsidR="00912B20">
              <w:rPr>
                <w:rFonts w:ascii="Arial" w:hAnsi="Arial"/>
              </w:rPr>
              <w:t xml:space="preserve"> </w:t>
            </w:r>
            <w:r w:rsidR="00912B20" w:rsidRPr="00912B20">
              <w:rPr>
                <w:rFonts w:ascii="Arial" w:hAnsi="Arial"/>
              </w:rPr>
              <w:t>35% versus controls with prednisolone</w:t>
            </w:r>
            <w:r w:rsidR="00954C81">
              <w:rPr>
                <w:rFonts w:ascii="Arial" w:hAnsi="Arial"/>
              </w:rPr>
              <w:t xml:space="preserve">. </w:t>
            </w:r>
            <w:r w:rsidR="009F16C4">
              <w:rPr>
                <w:rFonts w:ascii="Arial" w:hAnsi="Arial"/>
              </w:rPr>
              <w:t xml:space="preserve">The </w:t>
            </w:r>
            <w:r w:rsidR="009F16C4" w:rsidRPr="00001392">
              <w:rPr>
                <w:rFonts w:ascii="Arial" w:hAnsi="Arial"/>
                <w:i/>
              </w:rPr>
              <w:t>in vivo</w:t>
            </w:r>
            <w:r w:rsidR="009F16C4">
              <w:rPr>
                <w:rFonts w:ascii="Arial" w:hAnsi="Arial"/>
              </w:rPr>
              <w:t xml:space="preserve"> studies revealed that </w:t>
            </w:r>
            <w:r w:rsidR="009F16C4" w:rsidRPr="00564A36">
              <w:rPr>
                <w:rFonts w:ascii="Arial" w:hAnsi="Arial"/>
                <w:szCs w:val="20"/>
              </w:rPr>
              <w:t xml:space="preserve">all devices were </w:t>
            </w:r>
            <w:r w:rsidR="009F16C4">
              <w:rPr>
                <w:rFonts w:ascii="Arial" w:hAnsi="Arial"/>
                <w:szCs w:val="20"/>
              </w:rPr>
              <w:t xml:space="preserve">retained and </w:t>
            </w:r>
            <w:r w:rsidR="009F16C4" w:rsidRPr="00564A36">
              <w:rPr>
                <w:rFonts w:ascii="Arial" w:hAnsi="Arial"/>
                <w:szCs w:val="20"/>
              </w:rPr>
              <w:t>well tolerated with minimal fibrotic encapsulation</w:t>
            </w:r>
            <w:r w:rsidR="009F16C4">
              <w:rPr>
                <w:rFonts w:ascii="Arial" w:hAnsi="Arial"/>
                <w:szCs w:val="20"/>
              </w:rPr>
              <w:t>.</w:t>
            </w:r>
            <w:r w:rsidR="0088560B">
              <w:rPr>
                <w:rFonts w:ascii="Arial" w:hAnsi="Arial"/>
                <w:szCs w:val="20"/>
              </w:rPr>
              <w:t xml:space="preserve"> </w:t>
            </w:r>
            <w:r w:rsidR="00C91149" w:rsidRPr="00AB3A50">
              <w:rPr>
                <w:rFonts w:ascii="Arial" w:hAnsi="Arial"/>
                <w:szCs w:val="20"/>
              </w:rPr>
              <w:t>T</w:t>
            </w:r>
            <w:r w:rsidR="0088560B" w:rsidRPr="00AB3A50">
              <w:rPr>
                <w:rFonts w:ascii="Arial" w:hAnsi="Arial"/>
                <w:szCs w:val="20"/>
              </w:rPr>
              <w:t xml:space="preserve">he optimized device </w:t>
            </w:r>
            <w:r w:rsidR="0088560B" w:rsidRPr="00AB3A50">
              <w:rPr>
                <w:rFonts w:ascii="Arial" w:hAnsi="Arial"/>
              </w:rPr>
              <w:t>showed</w:t>
            </w:r>
            <w:r w:rsidR="00C91149" w:rsidRPr="00AB3A50">
              <w:rPr>
                <w:rFonts w:ascii="Arial" w:hAnsi="Arial"/>
              </w:rPr>
              <w:t xml:space="preserve"> significant reductions in IOP at day 28 and</w:t>
            </w:r>
            <w:r w:rsidR="0088560B" w:rsidRPr="00AB3A50">
              <w:rPr>
                <w:rFonts w:ascii="Arial" w:hAnsi="Arial"/>
              </w:rPr>
              <w:t xml:space="preserve"> comparable safety and efficacy to the standard of care, even without the use of Mitomycin C (MMC).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6DD72686" w:rsidR="00001392" w:rsidRPr="00C8192D" w:rsidRDefault="00467207" w:rsidP="00001392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8B461E" w:rsidRPr="00AB3A50">
              <w:rPr>
                <w:rFonts w:ascii="Arial" w:hAnsi="Arial"/>
              </w:rPr>
              <w:t>Our study</w:t>
            </w:r>
            <w:r w:rsidR="00C62333" w:rsidRPr="00AB3A50">
              <w:rPr>
                <w:rFonts w:ascii="Arial" w:hAnsi="Arial"/>
              </w:rPr>
              <w:t xml:space="preserve"> presents </w:t>
            </w:r>
            <w:r w:rsidR="00693348" w:rsidRPr="00AB3A50">
              <w:rPr>
                <w:rFonts w:ascii="Arial" w:hAnsi="Arial"/>
              </w:rPr>
              <w:t>promising results regarding</w:t>
            </w:r>
            <w:r w:rsidR="00C62333" w:rsidRPr="00AB3A50">
              <w:rPr>
                <w:rFonts w:ascii="Arial" w:hAnsi="Arial"/>
              </w:rPr>
              <w:t xml:space="preserve"> the efficacy and safety of the optimized device, both </w:t>
            </w:r>
            <w:r w:rsidR="00C62333" w:rsidRPr="00AB3A50">
              <w:rPr>
                <w:rFonts w:ascii="Arial" w:hAnsi="Arial"/>
                <w:i/>
                <w:iCs/>
              </w:rPr>
              <w:t>in vitro</w:t>
            </w:r>
            <w:r w:rsidR="00C62333" w:rsidRPr="00AB3A50">
              <w:rPr>
                <w:rFonts w:ascii="Arial" w:hAnsi="Arial"/>
              </w:rPr>
              <w:t xml:space="preserve"> and </w:t>
            </w:r>
            <w:r w:rsidR="00C62333" w:rsidRPr="00AB3A50">
              <w:rPr>
                <w:rFonts w:ascii="Arial" w:hAnsi="Arial"/>
                <w:i/>
                <w:iCs/>
              </w:rPr>
              <w:t>in vivo</w:t>
            </w:r>
            <w:r w:rsidR="00C62333" w:rsidRPr="00AB3A50">
              <w:rPr>
                <w:rFonts w:ascii="Arial" w:hAnsi="Arial"/>
              </w:rPr>
              <w:t xml:space="preserve">. </w:t>
            </w:r>
            <w:r w:rsidR="008B461E" w:rsidRPr="00AB3A50">
              <w:rPr>
                <w:rFonts w:ascii="Arial" w:hAnsi="Arial"/>
              </w:rPr>
              <w:t xml:space="preserve">These findings </w:t>
            </w:r>
            <w:r w:rsidR="00C91149" w:rsidRPr="00AB3A50">
              <w:rPr>
                <w:rFonts w:ascii="Arial" w:hAnsi="Arial"/>
              </w:rPr>
              <w:t>demonstrate</w:t>
            </w:r>
            <w:r w:rsidR="008B461E" w:rsidRPr="00AB3A50">
              <w:rPr>
                <w:rFonts w:ascii="Arial" w:hAnsi="Arial"/>
              </w:rPr>
              <w:t xml:space="preserve"> a compelling therapeutic option for mitigating fibrosis and improving patient outcomes in glaucoma.</w:t>
            </w:r>
            <w:r w:rsidR="00C91149" w:rsidRPr="00AB3A50">
              <w:rPr>
                <w:rFonts w:ascii="Arial" w:hAnsi="Arial"/>
              </w:rPr>
              <w:t xml:space="preserve"> This technology now forms the basis of a spin-out company with the goal </w:t>
            </w:r>
            <w:r w:rsidR="00C91149" w:rsidRPr="00870AAA">
              <w:rPr>
                <w:rFonts w:ascii="Arial" w:hAnsi="Arial"/>
              </w:rPr>
              <w:t>of progressing to clinical trials.</w:t>
            </w:r>
            <w:r w:rsidR="008B461E" w:rsidRPr="00AB3A50">
              <w:rPr>
                <w:rFonts w:ascii="Arial" w:hAnsi="Arial"/>
              </w:rPr>
              <w:t xml:space="preserve"> </w:t>
            </w:r>
          </w:p>
        </w:tc>
      </w:tr>
    </w:tbl>
    <w:p w14:paraId="6AAF9FAF" w14:textId="6C072B13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EA59" w16cex:dateUtc="2023-04-21T09:56:00Z"/>
  <w16cex:commentExtensible w16cex:durableId="27ECEA46" w16cex:dateUtc="2023-04-21T09:56:00Z"/>
  <w16cex:commentExtensible w16cex:durableId="27ECEB87" w16cex:dateUtc="2023-04-21T10:01:00Z"/>
  <w16cex:commentExtensible w16cex:durableId="27ECEC12" w16cex:dateUtc="2023-04-21T10:03:00Z"/>
  <w16cex:commentExtensible w16cex:durableId="27ECEE34" w16cex:dateUtc="2023-04-21T10:12:00Z"/>
  <w16cex:commentExtensible w16cex:durableId="27ECED82" w16cex:dateUtc="2023-04-21T1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F930" w14:textId="77777777" w:rsidR="00156327" w:rsidRDefault="00156327" w:rsidP="00421C5C">
      <w:pPr>
        <w:spacing w:after="0" w:line="240" w:lineRule="auto"/>
      </w:pPr>
      <w:r>
        <w:separator/>
      </w:r>
    </w:p>
  </w:endnote>
  <w:endnote w:type="continuationSeparator" w:id="0">
    <w:p w14:paraId="3BEFE6FB" w14:textId="77777777" w:rsidR="00156327" w:rsidRDefault="00156327" w:rsidP="004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F19DE" w14:textId="77777777" w:rsidR="00156327" w:rsidRDefault="00156327" w:rsidP="00421C5C">
      <w:pPr>
        <w:spacing w:after="0" w:line="240" w:lineRule="auto"/>
      </w:pPr>
      <w:r>
        <w:separator/>
      </w:r>
    </w:p>
  </w:footnote>
  <w:footnote w:type="continuationSeparator" w:id="0">
    <w:p w14:paraId="123DEEAB" w14:textId="77777777" w:rsidR="00156327" w:rsidRDefault="00156327" w:rsidP="0042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01392"/>
    <w:rsid w:val="00014A9A"/>
    <w:rsid w:val="00054457"/>
    <w:rsid w:val="000627A6"/>
    <w:rsid w:val="00103043"/>
    <w:rsid w:val="00156327"/>
    <w:rsid w:val="00174437"/>
    <w:rsid w:val="0017678E"/>
    <w:rsid w:val="001939AF"/>
    <w:rsid w:val="00197EC0"/>
    <w:rsid w:val="001A6B42"/>
    <w:rsid w:val="001B2637"/>
    <w:rsid w:val="002569B1"/>
    <w:rsid w:val="002918B7"/>
    <w:rsid w:val="00292038"/>
    <w:rsid w:val="002A6B96"/>
    <w:rsid w:val="002C4540"/>
    <w:rsid w:val="00324415"/>
    <w:rsid w:val="00374966"/>
    <w:rsid w:val="00381602"/>
    <w:rsid w:val="003A7B6A"/>
    <w:rsid w:val="003D0A78"/>
    <w:rsid w:val="003E6DEF"/>
    <w:rsid w:val="00421C5C"/>
    <w:rsid w:val="00460ABA"/>
    <w:rsid w:val="00467207"/>
    <w:rsid w:val="004A3505"/>
    <w:rsid w:val="004B18C6"/>
    <w:rsid w:val="004D7D60"/>
    <w:rsid w:val="005162DB"/>
    <w:rsid w:val="005301C0"/>
    <w:rsid w:val="005556FD"/>
    <w:rsid w:val="00564A36"/>
    <w:rsid w:val="00597A43"/>
    <w:rsid w:val="005A55C0"/>
    <w:rsid w:val="005C3469"/>
    <w:rsid w:val="006560FC"/>
    <w:rsid w:val="0066733D"/>
    <w:rsid w:val="00686768"/>
    <w:rsid w:val="00693348"/>
    <w:rsid w:val="006E12E6"/>
    <w:rsid w:val="00717CE7"/>
    <w:rsid w:val="0073272B"/>
    <w:rsid w:val="00735F89"/>
    <w:rsid w:val="00755020"/>
    <w:rsid w:val="0076037B"/>
    <w:rsid w:val="00770BAE"/>
    <w:rsid w:val="00791851"/>
    <w:rsid w:val="00801C54"/>
    <w:rsid w:val="00870AAA"/>
    <w:rsid w:val="0088560B"/>
    <w:rsid w:val="008912D0"/>
    <w:rsid w:val="008B461E"/>
    <w:rsid w:val="008C715D"/>
    <w:rsid w:val="00912B20"/>
    <w:rsid w:val="00954C81"/>
    <w:rsid w:val="00972FB0"/>
    <w:rsid w:val="00985B1D"/>
    <w:rsid w:val="009B7EC2"/>
    <w:rsid w:val="009F16C4"/>
    <w:rsid w:val="00A34DB9"/>
    <w:rsid w:val="00A35E16"/>
    <w:rsid w:val="00AA6BE1"/>
    <w:rsid w:val="00AB0613"/>
    <w:rsid w:val="00AB3A50"/>
    <w:rsid w:val="00AC1A57"/>
    <w:rsid w:val="00AC3DCC"/>
    <w:rsid w:val="00AD626D"/>
    <w:rsid w:val="00AE77F8"/>
    <w:rsid w:val="00B053D3"/>
    <w:rsid w:val="00B171AD"/>
    <w:rsid w:val="00B20457"/>
    <w:rsid w:val="00B223BC"/>
    <w:rsid w:val="00B26CB7"/>
    <w:rsid w:val="00B852B0"/>
    <w:rsid w:val="00BA1BF0"/>
    <w:rsid w:val="00C62333"/>
    <w:rsid w:val="00C8087A"/>
    <w:rsid w:val="00C91149"/>
    <w:rsid w:val="00CA77B5"/>
    <w:rsid w:val="00D16D0D"/>
    <w:rsid w:val="00D2501D"/>
    <w:rsid w:val="00D3053A"/>
    <w:rsid w:val="00D4736B"/>
    <w:rsid w:val="00D72B3E"/>
    <w:rsid w:val="00D96D21"/>
    <w:rsid w:val="00DD5AB1"/>
    <w:rsid w:val="00DE6D32"/>
    <w:rsid w:val="00E20280"/>
    <w:rsid w:val="00E84BD7"/>
    <w:rsid w:val="00E85F5E"/>
    <w:rsid w:val="00E94B41"/>
    <w:rsid w:val="00EA519D"/>
    <w:rsid w:val="00EC2E1E"/>
    <w:rsid w:val="00EE19A7"/>
    <w:rsid w:val="00EF49C5"/>
    <w:rsid w:val="00F44271"/>
    <w:rsid w:val="00F454E8"/>
    <w:rsid w:val="00F710AD"/>
    <w:rsid w:val="00F74E53"/>
    <w:rsid w:val="00FB4AD5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styleId="Revision">
    <w:name w:val="Revision"/>
    <w:hidden/>
    <w:uiPriority w:val="99"/>
    <w:semiHidden/>
    <w:rsid w:val="00A35E16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E1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1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2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DFA5-3ED4-4770-8C8E-D8F8FDA6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Golestan Salimbeigi</cp:lastModifiedBy>
  <cp:revision>4</cp:revision>
  <dcterms:created xsi:type="dcterms:W3CDTF">2023-04-21T10:15:00Z</dcterms:created>
  <dcterms:modified xsi:type="dcterms:W3CDTF">2023-04-21T13:26:00Z</dcterms:modified>
</cp:coreProperties>
</file>