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467207" w:rsidRPr="00A94A61" w14:paraId="0EB9A303" w14:textId="77777777" w:rsidTr="00A94A61">
        <w:tc>
          <w:tcPr>
            <w:tcW w:w="9016" w:type="dxa"/>
          </w:tcPr>
          <w:p w14:paraId="612976A6" w14:textId="724AAB52" w:rsidR="00467207" w:rsidRPr="00A94A61" w:rsidRDefault="00A94A61" w:rsidP="00A94A6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 w:rsidRPr="00A94A61">
              <w:rPr>
                <w:rStyle w:val="cf01"/>
                <w:rFonts w:ascii="Arial" w:hAnsi="Arial" w:cs="Arial"/>
                <w:b/>
                <w:bCs/>
                <w:sz w:val="28"/>
                <w:szCs w:val="28"/>
              </w:rPr>
              <w:t>An exploration of selenium nanoparticle fabrication and antioxidant properties</w:t>
            </w:r>
          </w:p>
        </w:tc>
      </w:tr>
      <w:tr w:rsidR="00467207" w:rsidRPr="00A94A61" w14:paraId="1D5D4D13" w14:textId="77777777" w:rsidTr="00A94A61">
        <w:tc>
          <w:tcPr>
            <w:tcW w:w="9016" w:type="dxa"/>
          </w:tcPr>
          <w:p w14:paraId="02AF625D" w14:textId="05C72EC0" w:rsidR="00972FB0" w:rsidRPr="00A94A61" w:rsidRDefault="00A94A61" w:rsidP="00A94A61">
            <w:pPr>
              <w:pStyle w:val="CorrespondingAuthorICCC2016"/>
              <w:spacing w:before="0" w:after="0"/>
              <w:rPr>
                <w:rFonts w:cs="Arial"/>
                <w:sz w:val="22"/>
                <w:szCs w:val="22"/>
              </w:rPr>
            </w:pPr>
            <w:r w:rsidRPr="00A94A61">
              <w:rPr>
                <w:rFonts w:cs="Arial"/>
                <w:bCs/>
                <w:sz w:val="22"/>
                <w:szCs w:val="22"/>
                <w:u w:val="single"/>
              </w:rPr>
              <w:t>Lulwah Albassam</w:t>
            </w:r>
            <w:r w:rsidRPr="00A94A61">
              <w:rPr>
                <w:rFonts w:cs="Arial"/>
                <w:bCs/>
                <w:sz w:val="22"/>
                <w:szCs w:val="22"/>
              </w:rPr>
              <w:t>; Gareth R. Williams; Steve Brocchini</w:t>
            </w:r>
            <w:r w:rsidRPr="00A94A61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467207" w:rsidRPr="00A94A61" w14:paraId="63FBC6B0" w14:textId="77777777" w:rsidTr="00A94A61">
        <w:tc>
          <w:tcPr>
            <w:tcW w:w="9016" w:type="dxa"/>
          </w:tcPr>
          <w:p w14:paraId="1E6D58FE" w14:textId="2EDB6C6F" w:rsidR="00EA519D" w:rsidRPr="00A94A61" w:rsidRDefault="00A94A61" w:rsidP="00A94A61">
            <w:pPr>
              <w:pStyle w:val="CorrespondingAuthorICCC2016"/>
              <w:spacing w:before="0" w:after="0"/>
              <w:rPr>
                <w:rFonts w:cs="Arial"/>
                <w:i/>
                <w:iCs/>
                <w:sz w:val="22"/>
                <w:szCs w:val="22"/>
              </w:rPr>
            </w:pPr>
            <w:r w:rsidRPr="00A94A61">
              <w:rPr>
                <w:rFonts w:cs="Arial"/>
                <w:sz w:val="22"/>
                <w:szCs w:val="22"/>
              </w:rPr>
              <w:t>UCL School of Pharmacy, 29-39 Brunswick Square, London, UK.</w:t>
            </w:r>
            <w:r w:rsidRPr="00A94A61">
              <w:rPr>
                <w:rFonts w:cs="Arial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467207" w:rsidRPr="00A94A61" w14:paraId="68801AA9" w14:textId="77777777" w:rsidTr="00A94A61">
        <w:tc>
          <w:tcPr>
            <w:tcW w:w="9016" w:type="dxa"/>
          </w:tcPr>
          <w:p w14:paraId="4D02338A" w14:textId="0EF0381F" w:rsidR="00EA519D" w:rsidRPr="00A94A61" w:rsidRDefault="00467207" w:rsidP="00A94A6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val="fr-FR"/>
              </w:rPr>
            </w:pPr>
            <w:r w:rsidRPr="00A94A61">
              <w:rPr>
                <w:rFonts w:ascii="Arial" w:hAnsi="Arial" w:cs="Arial"/>
                <w:b/>
              </w:rPr>
              <w:t>Background:</w:t>
            </w:r>
            <w:r w:rsidR="005162DB" w:rsidRPr="00A94A61">
              <w:rPr>
                <w:rFonts w:ascii="Arial" w:hAnsi="Arial" w:cs="Arial"/>
              </w:rPr>
              <w:t xml:space="preserve"> </w:t>
            </w:r>
            <w:bookmarkStart w:id="0" w:name="_Hlk130384209"/>
            <w:r w:rsidR="00A94A61" w:rsidRPr="00A94A61">
              <w:rPr>
                <w:rFonts w:ascii="Arial" w:hAnsi="Arial" w:cs="Arial"/>
              </w:rPr>
              <w:t xml:space="preserve">The World Health Organization (WHO) estimates that approximately 2.2 billion people worldwide suffer from vision impairment, and that half of those cases could be prevented </w:t>
            </w:r>
            <w:r w:rsidR="00A94A61" w:rsidRPr="00A94A61">
              <w:rPr>
                <w:rFonts w:ascii="Arial" w:hAnsi="Arial" w:cs="Arial"/>
              </w:rPr>
              <w:fldChar w:fldCharType="begin"/>
            </w:r>
            <w:r w:rsidR="00A94A61" w:rsidRPr="00A94A61">
              <w:rPr>
                <w:rFonts w:ascii="Arial" w:hAnsi="Arial" w:cs="Arial"/>
              </w:rPr>
              <w:instrText xml:space="preserve"> ADDIN EN.CITE &lt;EndNote&gt;&lt;Cite&gt;&lt;Author&gt;organization&lt;/Author&gt;&lt;Year&gt;2019&lt;/Year&gt;&lt;RecNum&gt;60&lt;/RecNum&gt;&lt;DisplayText&gt;(1)&lt;/DisplayText&gt;&lt;record&gt;&lt;rec-number&gt;60&lt;/rec-number&gt;&lt;foreign-keys&gt;&lt;key app="EN" db-id="zwzezvd002ta9pefsz55zt5dx5pssf9vx9wv" timestamp="1643713230" guid="55a597b3-bf3c-4a82-a8c6-f18e64914ee3"&gt;60&lt;/key&gt;&lt;/foreign-keys&gt;&lt;ref-type name="Web Page"&gt;12&lt;/ref-type&gt;&lt;contributors&gt;&lt;authors&gt;&lt;author&gt;World health organization&lt;/author&gt;&lt;/authors&gt;&lt;/contributors&gt;&lt;titles&gt;&lt;title&gt;world report on vision&lt;/title&gt;&lt;/titles&gt;&lt;dates&gt;&lt;year&gt;2019&lt;/year&gt;&lt;/dates&gt;&lt;publisher&gt;WHO&lt;/publisher&gt;&lt;isbn&gt;9789241516570&lt;/isbn&gt;&lt;urls&gt;&lt;related-urls&gt;&lt;url&gt;https://www.who.int/publications/i/item/9789241516570&lt;/url&gt;&lt;/related-urls&gt;&lt;/urls&gt;&lt;custom1&gt;2022&lt;/custom1&gt;&lt;custom2&gt;10th Jan&lt;/custom2&gt;&lt;/record&gt;&lt;/Cite&gt;&lt;/EndNote&gt;</w:instrText>
            </w:r>
            <w:r w:rsidR="00A94A61" w:rsidRPr="00A94A61">
              <w:rPr>
                <w:rFonts w:ascii="Arial" w:hAnsi="Arial" w:cs="Arial"/>
              </w:rPr>
              <w:fldChar w:fldCharType="separate"/>
            </w:r>
            <w:r w:rsidR="00A94A61" w:rsidRPr="00A94A61">
              <w:rPr>
                <w:rFonts w:ascii="Arial" w:hAnsi="Arial" w:cs="Arial"/>
                <w:noProof/>
              </w:rPr>
              <w:t>(1)</w:t>
            </w:r>
            <w:r w:rsidR="00A94A61" w:rsidRPr="00A94A61">
              <w:rPr>
                <w:rFonts w:ascii="Arial" w:hAnsi="Arial" w:cs="Arial"/>
              </w:rPr>
              <w:fldChar w:fldCharType="end"/>
            </w:r>
            <w:r w:rsidR="00A94A61" w:rsidRPr="00A94A61">
              <w:rPr>
                <w:rFonts w:ascii="Arial" w:hAnsi="Arial" w:cs="Arial"/>
              </w:rPr>
              <w:t xml:space="preserve">. Oxidative stress plays a critical role in the development of ocular conditions </w:t>
            </w:r>
            <w:r w:rsidR="00A94A61" w:rsidRPr="00A94A61">
              <w:rPr>
                <w:rFonts w:ascii="Arial" w:hAnsi="Arial" w:cs="Arial"/>
              </w:rPr>
              <w:fldChar w:fldCharType="begin"/>
            </w:r>
            <w:r w:rsidR="00A94A61" w:rsidRPr="00A94A61">
              <w:rPr>
                <w:rFonts w:ascii="Arial" w:hAnsi="Arial" w:cs="Arial"/>
              </w:rPr>
              <w:instrText xml:space="preserve"> ADDIN EN.CITE &lt;EndNote&gt;&lt;Cite&gt;&lt;Author&gt;Chen&lt;/Author&gt;&lt;Year&gt;2009&lt;/Year&gt;&lt;RecNum&gt;97&lt;/RecNum&gt;&lt;DisplayText&gt;(3)&lt;/DisplayText&gt;&lt;record&gt;&lt;rec-number&gt;97&lt;/rec-number&gt;&lt;foreign-keys&gt;&lt;key app="EN" db-id="zwzezvd002ta9pefsz55zt5dx5pssf9vx9wv" timestamp="1643721951" guid="82864c47-ed8e-4651-8b8f-d0289b447a67"&gt;97&lt;/key&gt;&lt;/foreign-keys&gt;&lt;ref-type name="Journal Article"&gt;17&lt;/ref-type&gt;&lt;contributors&gt;&lt;authors&gt;&lt;author&gt;Chen, Ying PhD&lt;/author&gt;&lt;author&gt;Mehta, Gaurav M. V. S.&lt;/author&gt;&lt;author&gt;Vasiliou, Vasilis PhD&lt;/author&gt;&lt;/authors&gt;&lt;/contributors&gt;&lt;titles&gt;&lt;title&gt;Antioxidant Defenses in the ocular surface&lt;/title&gt;&lt;secondary-title&gt;OCUL SURF&lt;/secondary-title&gt;&lt;/titles&gt;&lt;periodical&gt;&lt;full-title&gt;OCUL SURF&lt;/full-title&gt;&lt;/periodical&gt;&lt;pages&gt;176-185&lt;/pages&gt;&lt;volume&gt;7&lt;/volume&gt;&lt;number&gt;4&lt;/number&gt;&lt;keywords&gt;&lt;keyword&gt;AGE-RELATED EYE DISEASE&lt;/keyword&gt;&lt;keyword&gt;Animals&lt;/keyword&gt;&lt;keyword&gt;ANTIOXIDANTS&lt;/keyword&gt;&lt;keyword&gt;Antioxidants - metabolism&lt;/keyword&gt;&lt;keyword&gt;Cornea - metabolism&lt;/keyword&gt;&lt;keyword&gt;Eye Diseases - metabolism&lt;/keyword&gt;&lt;keyword&gt;FREE RADICALS&lt;/keyword&gt;&lt;keyword&gt;Humans&lt;/keyword&gt;&lt;keyword&gt;Life Sciences &amp;amp; Biomedicine&lt;/keyword&gt;&lt;keyword&gt;OCULAR DEFENSE SYSTEM&lt;/keyword&gt;&lt;keyword&gt;Ophthalmology&lt;/keyword&gt;&lt;keyword&gt;Oxidative Stress - physiology&lt;/keyword&gt;&lt;keyword&gt;REACTIVE OXYGEN SPECIES&lt;/keyword&gt;&lt;keyword&gt;Reactive Oxygen Species - metabolism&lt;/keyword&gt;&lt;keyword&gt;Science &amp;amp; Technology&lt;/keyword&gt;&lt;keyword&gt;Tears - metabolism&lt;/keyword&gt;&lt;keyword&gt;VITAMIN A&lt;/keyword&gt;&lt;keyword&gt;VITAMIN E&lt;/keyword&gt;&lt;/keywords&gt;&lt;dates&gt;&lt;year&gt;2009&lt;/year&gt;&lt;/dates&gt;&lt;pub-location&gt;AMSTERDAM&lt;/pub-location&gt;&lt;publisher&gt;AMSTERDAM: Elsevier Inc&lt;/publisher&gt;&lt;isbn&gt;1542-0124&lt;/isbn&gt;&lt;urls&gt;&lt;/urls&gt;&lt;custom1&gt;Scopus&amp;#xD;ScienceDirect Journals&amp;#xD;Web of Science - Science Citation Index Expanded - 2009&amp;lt;img src=&amp;quot;http://exlibris-pub.s3.amazonaws.com/fromwos-v2.jpg&amp;quot; /&amp;gt;&lt;/custom1&gt;&lt;custom2&gt;The ocular surface, 2009-10, Vol.7 (4), p.176-185&lt;/custom2&gt;&lt;electronic-resource-num&gt;10.1016/S1542-0124(12)70185-4&lt;/electronic-resource-num&gt;&lt;language&gt;eng&lt;/language&gt;&lt;/record&gt;&lt;/Cite&gt;&lt;/EndNote&gt;</w:instrText>
            </w:r>
            <w:r w:rsidR="00A94A61" w:rsidRPr="00A94A61">
              <w:rPr>
                <w:rFonts w:ascii="Arial" w:hAnsi="Arial" w:cs="Arial"/>
              </w:rPr>
              <w:fldChar w:fldCharType="separate"/>
            </w:r>
            <w:r w:rsidR="00A94A61" w:rsidRPr="00A94A61">
              <w:rPr>
                <w:rFonts w:ascii="Arial" w:hAnsi="Arial" w:cs="Arial"/>
                <w:noProof/>
              </w:rPr>
              <w:t>(2)</w:t>
            </w:r>
            <w:r w:rsidR="00A94A61" w:rsidRPr="00A94A61">
              <w:rPr>
                <w:rFonts w:ascii="Arial" w:hAnsi="Arial" w:cs="Arial"/>
              </w:rPr>
              <w:fldChar w:fldCharType="end"/>
            </w:r>
            <w:r w:rsidR="00A94A61" w:rsidRPr="00A94A61">
              <w:rPr>
                <w:rFonts w:ascii="Arial" w:hAnsi="Arial" w:cs="Arial"/>
              </w:rPr>
              <w:t xml:space="preserve">. </w:t>
            </w:r>
            <w:r w:rsidR="00A94A61" w:rsidRPr="00A94A61">
              <w:rPr>
                <w:rFonts w:ascii="Arial" w:hAnsi="Arial" w:cs="Arial"/>
                <w:lang w:val="en-GB"/>
              </w:rPr>
              <w:t>Recently, the potential of selenium as a drug to treat such conditions has been proposed (2)</w:t>
            </w:r>
            <w:r w:rsidR="00A94A61" w:rsidRPr="00A94A61">
              <w:rPr>
                <w:rFonts w:ascii="Arial" w:hAnsi="Arial" w:cs="Arial"/>
              </w:rPr>
              <w:t>. Selenium is fundamentally important to human wellbeing as it is incorporated into 25 proteins including glutathione peroxidase (</w:t>
            </w:r>
            <w:proofErr w:type="spellStart"/>
            <w:r w:rsidR="00A94A61" w:rsidRPr="00A94A61">
              <w:rPr>
                <w:rFonts w:ascii="Arial" w:hAnsi="Arial" w:cs="Arial"/>
              </w:rPr>
              <w:t>GPx</w:t>
            </w:r>
            <w:proofErr w:type="spellEnd"/>
            <w:r w:rsidR="00A94A61" w:rsidRPr="00A94A61">
              <w:rPr>
                <w:rFonts w:ascii="Arial" w:hAnsi="Arial" w:cs="Arial"/>
              </w:rPr>
              <w:t xml:space="preserve">), an antioxidant enzyme that protects lipids from peroxidation (3). We thus </w:t>
            </w:r>
            <w:proofErr w:type="spellStart"/>
            <w:r w:rsidR="00A94A61" w:rsidRPr="00A94A61">
              <w:rPr>
                <w:rFonts w:ascii="Arial" w:hAnsi="Arial" w:cs="Arial"/>
              </w:rPr>
              <w:t>hypothesised</w:t>
            </w:r>
            <w:proofErr w:type="spellEnd"/>
            <w:r w:rsidR="00A94A61" w:rsidRPr="00A94A61">
              <w:rPr>
                <w:rFonts w:ascii="Arial" w:hAnsi="Arial" w:cs="Arial"/>
              </w:rPr>
              <w:t xml:space="preserve"> that elemental selenium could be applied to supplement </w:t>
            </w:r>
            <w:proofErr w:type="spellStart"/>
            <w:r w:rsidR="00A94A61" w:rsidRPr="00A94A61">
              <w:rPr>
                <w:rFonts w:ascii="Arial" w:hAnsi="Arial" w:cs="Arial"/>
              </w:rPr>
              <w:t>GPx</w:t>
            </w:r>
            <w:proofErr w:type="spellEnd"/>
            <w:r w:rsidR="00A94A61" w:rsidRPr="00A94A61">
              <w:rPr>
                <w:rFonts w:ascii="Arial" w:hAnsi="Arial" w:cs="Arial"/>
              </w:rPr>
              <w:t xml:space="preserve"> levels </w:t>
            </w:r>
            <w:bookmarkEnd w:id="0"/>
            <w:r w:rsidR="00A94A61" w:rsidRPr="00A94A61">
              <w:rPr>
                <w:rFonts w:ascii="Arial" w:hAnsi="Arial" w:cs="Arial"/>
              </w:rPr>
              <w:t>and protect human lens cells from oxidative stress.</w:t>
            </w:r>
          </w:p>
        </w:tc>
      </w:tr>
      <w:tr w:rsidR="00467207" w:rsidRPr="00A94A61" w14:paraId="291DAA53" w14:textId="77777777" w:rsidTr="00A94A61">
        <w:tc>
          <w:tcPr>
            <w:tcW w:w="9016" w:type="dxa"/>
          </w:tcPr>
          <w:p w14:paraId="158BA3F5" w14:textId="580ACE10" w:rsidR="00EA519D" w:rsidRPr="00A94A61" w:rsidRDefault="00467207" w:rsidP="00A94A61">
            <w:pPr>
              <w:jc w:val="both"/>
              <w:rPr>
                <w:rFonts w:ascii="Arial" w:eastAsia="Times New Roman" w:hAnsi="Arial" w:cs="Arial"/>
                <w:lang w:val="fr-FR"/>
              </w:rPr>
            </w:pPr>
            <w:r w:rsidRPr="00A94A61">
              <w:rPr>
                <w:rFonts w:ascii="Arial" w:hAnsi="Arial" w:cs="Arial"/>
                <w:b/>
              </w:rPr>
              <w:t>Methods:</w:t>
            </w:r>
            <w:r w:rsidRPr="00A94A61">
              <w:rPr>
                <w:rFonts w:ascii="Arial" w:hAnsi="Arial" w:cs="Arial"/>
              </w:rPr>
              <w:t xml:space="preserve"> </w:t>
            </w:r>
            <w:r w:rsidR="00A94A61" w:rsidRPr="00A94A61">
              <w:rPr>
                <w:rFonts w:ascii="Arial" w:hAnsi="Arial" w:cs="Arial"/>
              </w:rPr>
              <w:t>Selenium nanoparticles (</w:t>
            </w:r>
            <w:r w:rsidR="00A94A61" w:rsidRPr="00A94A61">
              <w:rPr>
                <w:rFonts w:ascii="Arial" w:hAnsi="Arial" w:cs="Arial"/>
                <w:lang w:val="en-GB"/>
              </w:rPr>
              <w:t xml:space="preserve">SeNPs) were prepared by reduction of sodium selenite by ascorbic acid (vitamin C) in the presence of </w:t>
            </w:r>
            <w:r w:rsidR="00A94A61" w:rsidRPr="00A94A61">
              <w:rPr>
                <w:rFonts w:ascii="Arial" w:hAnsi="Arial" w:cs="Arial"/>
                <w:shd w:val="clear" w:color="auto" w:fill="FFFFFF"/>
              </w:rPr>
              <w:t>α-</w:t>
            </w:r>
            <w:proofErr w:type="spellStart"/>
            <w:r w:rsidR="00A94A61" w:rsidRPr="00A94A61">
              <w:rPr>
                <w:rFonts w:ascii="Arial" w:hAnsi="Arial" w:cs="Arial"/>
                <w:shd w:val="clear" w:color="auto" w:fill="FFFFFF"/>
              </w:rPr>
              <w:t>tocopheryl</w:t>
            </w:r>
            <w:proofErr w:type="spellEnd"/>
            <w:r w:rsidR="00A94A61" w:rsidRPr="00A94A61">
              <w:rPr>
                <w:rFonts w:ascii="Arial" w:hAnsi="Arial" w:cs="Arial"/>
                <w:shd w:val="clear" w:color="auto" w:fill="FFFFFF"/>
              </w:rPr>
              <w:t xml:space="preserve"> polyethylene glycol succinate</w:t>
            </w:r>
            <w:r w:rsidR="00A94A61" w:rsidRPr="00A94A61">
              <w:rPr>
                <w:rFonts w:ascii="Arial" w:hAnsi="Arial" w:cs="Arial"/>
                <w:lang w:val="en-GB"/>
              </w:rPr>
              <w:t xml:space="preserve"> (TPGS)</w:t>
            </w:r>
            <w:r w:rsidR="00A94A61" w:rsidRPr="00A94A61">
              <w:rPr>
                <w:rFonts w:ascii="Arial" w:hAnsi="Arial" w:cs="Arial"/>
              </w:rPr>
              <w:t xml:space="preserve">. The final colloidal solution was centrifuged to wash the nanoparticles (NPs) with de-ionized water. The NPs were </w:t>
            </w:r>
            <w:proofErr w:type="spellStart"/>
            <w:r w:rsidR="00A94A61" w:rsidRPr="00A94A61">
              <w:rPr>
                <w:rFonts w:ascii="Arial" w:hAnsi="Arial" w:cs="Arial"/>
              </w:rPr>
              <w:t>characterised</w:t>
            </w:r>
            <w:proofErr w:type="spellEnd"/>
            <w:r w:rsidR="00A94A61" w:rsidRPr="00A94A61">
              <w:rPr>
                <w:rFonts w:ascii="Arial" w:hAnsi="Arial" w:cs="Arial"/>
              </w:rPr>
              <w:t xml:space="preserve"> using dynamic light scattering (DLS), transmission electron microscopy (TEM), and inductive coupled plasma mass spectrometry (ICP-MS). Their functional performance was explored using </w:t>
            </w:r>
            <w:r w:rsidR="00A94A61" w:rsidRPr="00A94A61">
              <w:rPr>
                <w:rFonts w:ascii="Arial" w:hAnsi="Arial" w:cs="Arial"/>
                <w:color w:val="212121"/>
                <w:shd w:val="clear" w:color="auto" w:fill="FFFFFF"/>
              </w:rPr>
              <w:t>1,1-diphenyl-2-picrylhydrazyl (DPPH),</w:t>
            </w:r>
            <w:r w:rsidR="00A94A61" w:rsidRPr="00A94A61">
              <w:rPr>
                <w:rFonts w:ascii="Arial" w:hAnsi="Arial" w:cs="Arial"/>
              </w:rPr>
              <w:t xml:space="preserve"> human lens epithelial (HLE) cell viability, and glutathione peroxidase (</w:t>
            </w:r>
            <w:proofErr w:type="spellStart"/>
            <w:r w:rsidR="00A94A61" w:rsidRPr="00A94A61">
              <w:rPr>
                <w:rFonts w:ascii="Arial" w:hAnsi="Arial" w:cs="Arial"/>
              </w:rPr>
              <w:t>GPx</w:t>
            </w:r>
            <w:proofErr w:type="spellEnd"/>
            <w:r w:rsidR="00A94A61" w:rsidRPr="00A94A61">
              <w:rPr>
                <w:rFonts w:ascii="Arial" w:hAnsi="Arial" w:cs="Arial"/>
              </w:rPr>
              <w:t>) quantification assays.</w:t>
            </w:r>
          </w:p>
        </w:tc>
      </w:tr>
      <w:tr w:rsidR="00467207" w:rsidRPr="00A94A61" w14:paraId="3489F48C" w14:textId="77777777" w:rsidTr="00A94A61">
        <w:tc>
          <w:tcPr>
            <w:tcW w:w="9016" w:type="dxa"/>
          </w:tcPr>
          <w:p w14:paraId="721BEE18" w14:textId="1F4DAFAB" w:rsidR="00EA519D" w:rsidRPr="00A94A61" w:rsidRDefault="00467207" w:rsidP="00A94A61">
            <w:pPr>
              <w:jc w:val="both"/>
              <w:rPr>
                <w:rFonts w:ascii="Arial" w:eastAsia="Times New Roman" w:hAnsi="Arial" w:cs="Arial"/>
                <w:color w:val="222222"/>
                <w:shd w:val="clear" w:color="auto" w:fill="FFFFFF"/>
                <w:lang w:val="fr-FR"/>
              </w:rPr>
            </w:pPr>
            <w:r w:rsidRPr="00A94A61">
              <w:rPr>
                <w:rFonts w:ascii="Arial" w:hAnsi="Arial" w:cs="Arial"/>
                <w:b/>
              </w:rPr>
              <w:t>Results:</w:t>
            </w:r>
            <w:r w:rsidR="00197EC0" w:rsidRPr="00A94A61">
              <w:rPr>
                <w:rFonts w:ascii="Arial" w:hAnsi="Arial" w:cs="Arial"/>
              </w:rPr>
              <w:t xml:space="preserve"> </w:t>
            </w:r>
            <w:r w:rsidR="00A94A61" w:rsidRPr="00A94A61">
              <w:rPr>
                <w:rFonts w:ascii="Arial" w:hAnsi="Arial" w:cs="Arial"/>
              </w:rPr>
              <w:t xml:space="preserve">DLS data shows the NPs to have a size of 40 ± 3 nm, with zeta potential of -14 ± 2 mV and PDI = 0.08 ± 0.01. TEM revealed that the </w:t>
            </w:r>
            <w:r w:rsidR="00A94A61" w:rsidRPr="00A94A61">
              <w:rPr>
                <w:rFonts w:ascii="Arial" w:hAnsi="Arial" w:cs="Arial"/>
                <w:color w:val="222222"/>
                <w:shd w:val="clear" w:color="auto" w:fill="FFFFFF"/>
              </w:rPr>
              <w:t xml:space="preserve">SeNPs were spherical with a diameter of approximately 32 ± 6 nm. The size however increased to 86 ± 3 nm after 2 months storage at </w:t>
            </w:r>
            <w:r w:rsidR="00A94A61" w:rsidRPr="00A94A61">
              <w:rPr>
                <w:rFonts w:ascii="Arial" w:hAnsi="Arial" w:cs="Arial"/>
                <w:color w:val="040C28"/>
              </w:rPr>
              <w:t>1 – 4 °C</w:t>
            </w:r>
            <w:r w:rsidR="00A94A61" w:rsidRPr="00A94A61">
              <w:rPr>
                <w:rFonts w:ascii="Arial" w:hAnsi="Arial" w:cs="Arial"/>
                <w:color w:val="202124"/>
                <w:shd w:val="clear" w:color="auto" w:fill="FFFFFF"/>
              </w:rPr>
              <w:t>.</w:t>
            </w:r>
            <w:r w:rsidR="00A94A61" w:rsidRPr="00A94A61">
              <w:rPr>
                <w:rFonts w:ascii="Arial" w:hAnsi="Arial" w:cs="Arial"/>
                <w:color w:val="222222"/>
                <w:shd w:val="clear" w:color="auto" w:fill="FFFFFF"/>
              </w:rPr>
              <w:t xml:space="preserve"> DPPH assays showed dose dependent antioxidant activity, and the NPs were found to be </w:t>
            </w:r>
            <w:proofErr w:type="spellStart"/>
            <w:r w:rsidR="00A94A61" w:rsidRPr="00A94A61">
              <w:rPr>
                <w:rFonts w:ascii="Arial" w:hAnsi="Arial" w:cs="Arial"/>
                <w:color w:val="222222"/>
                <w:shd w:val="clear" w:color="auto" w:fill="FFFFFF"/>
              </w:rPr>
              <w:t>cytocompatible</w:t>
            </w:r>
            <w:proofErr w:type="spellEnd"/>
            <w:r w:rsidR="00A94A61" w:rsidRPr="00A94A61">
              <w:rPr>
                <w:rFonts w:ascii="Arial" w:hAnsi="Arial" w:cs="Arial"/>
                <w:color w:val="222222"/>
                <w:shd w:val="clear" w:color="auto" w:fill="FFFFFF"/>
              </w:rPr>
              <w:t xml:space="preserve"> with IC</w:t>
            </w:r>
            <w:r w:rsidR="00A94A61" w:rsidRPr="00A94A61">
              <w:rPr>
                <w:rFonts w:ascii="Arial" w:hAnsi="Arial" w:cs="Arial"/>
                <w:color w:val="222222"/>
                <w:shd w:val="clear" w:color="auto" w:fill="FFFFFF"/>
                <w:vertAlign w:val="subscript"/>
              </w:rPr>
              <w:t>50</w:t>
            </w:r>
            <w:r w:rsidR="00A94A61" w:rsidRPr="00A94A61">
              <w:rPr>
                <w:rFonts w:ascii="Arial" w:hAnsi="Arial" w:cs="Arial"/>
                <w:color w:val="222222"/>
                <w:shd w:val="clear" w:color="auto" w:fill="FFFFFF"/>
              </w:rPr>
              <w:t xml:space="preserve"> of 2.2 µg/ml. A </w:t>
            </w:r>
            <w:proofErr w:type="spellStart"/>
            <w:r w:rsidR="00A94A61" w:rsidRPr="00A94A61">
              <w:rPr>
                <w:rFonts w:ascii="Arial" w:hAnsi="Arial" w:cs="Arial"/>
                <w:color w:val="222222"/>
                <w:shd w:val="clear" w:color="auto" w:fill="FFFFFF"/>
              </w:rPr>
              <w:t>GPx</w:t>
            </w:r>
            <w:proofErr w:type="spellEnd"/>
            <w:r w:rsidR="00A94A61" w:rsidRPr="00A94A61">
              <w:rPr>
                <w:rFonts w:ascii="Arial" w:hAnsi="Arial" w:cs="Arial"/>
                <w:color w:val="222222"/>
                <w:shd w:val="clear" w:color="auto" w:fill="FFFFFF"/>
              </w:rPr>
              <w:t xml:space="preserve"> assay revealed an increase in the concentration of the enzyme in </w:t>
            </w:r>
            <w:proofErr w:type="spellStart"/>
            <w:r w:rsidR="00A94A61" w:rsidRPr="00A94A61">
              <w:rPr>
                <w:rFonts w:ascii="Arial" w:hAnsi="Arial" w:cs="Arial"/>
                <w:color w:val="222222"/>
                <w:shd w:val="clear" w:color="auto" w:fill="FFFFFF"/>
              </w:rPr>
              <w:t>SeNP</w:t>
            </w:r>
            <w:proofErr w:type="spellEnd"/>
            <w:r w:rsidR="00A94A61" w:rsidRPr="00A94A61">
              <w:rPr>
                <w:rFonts w:ascii="Arial" w:hAnsi="Arial" w:cs="Arial"/>
                <w:color w:val="222222"/>
                <w:shd w:val="clear" w:color="auto" w:fill="FFFFFF"/>
              </w:rPr>
              <w:t>-treated cells compared to controls and cells treated with organic Se (Se-methionine).</w:t>
            </w:r>
          </w:p>
        </w:tc>
      </w:tr>
      <w:tr w:rsidR="00467207" w:rsidRPr="00A94A61" w14:paraId="2083C688" w14:textId="77777777" w:rsidTr="00A94A61">
        <w:tc>
          <w:tcPr>
            <w:tcW w:w="9016" w:type="dxa"/>
          </w:tcPr>
          <w:p w14:paraId="2B777301" w14:textId="0258EA7F" w:rsidR="00467207" w:rsidRPr="00A94A61" w:rsidRDefault="00467207" w:rsidP="00A94A61">
            <w:pPr>
              <w:jc w:val="both"/>
              <w:rPr>
                <w:rFonts w:ascii="Arial" w:eastAsia="Times New Roman" w:hAnsi="Arial" w:cs="Arial"/>
              </w:rPr>
            </w:pPr>
            <w:r w:rsidRPr="00A94A61">
              <w:rPr>
                <w:rFonts w:ascii="Arial" w:hAnsi="Arial" w:cs="Arial"/>
                <w:b/>
              </w:rPr>
              <w:t>Conclusions:</w:t>
            </w:r>
            <w:r w:rsidR="00F710AD" w:rsidRPr="00A94A61">
              <w:rPr>
                <w:rFonts w:ascii="Arial" w:hAnsi="Arial" w:cs="Arial"/>
              </w:rPr>
              <w:t xml:space="preserve"> </w:t>
            </w:r>
            <w:r w:rsidR="00A94A61" w:rsidRPr="00A94A61">
              <w:rPr>
                <w:rFonts w:ascii="Arial" w:hAnsi="Arial" w:cs="Arial"/>
              </w:rPr>
              <w:t>Selenium nanoparticles showed scavenging and antioxidant effects and can be further studied for topical applications to help delay the progression of cataracts.</w:t>
            </w:r>
          </w:p>
        </w:tc>
      </w:tr>
    </w:tbl>
    <w:p w14:paraId="505FBFD7" w14:textId="77777777" w:rsidR="00A94A61" w:rsidRDefault="00A94A61" w:rsidP="00A94A61">
      <w:pPr>
        <w:jc w:val="both"/>
        <w:rPr>
          <w:rFonts w:ascii="Arial" w:hAnsi="Arial" w:cs="Arial"/>
          <w:b/>
        </w:rPr>
      </w:pPr>
    </w:p>
    <w:p w14:paraId="6B4CBDAC" w14:textId="3D145723" w:rsidR="00A94A61" w:rsidRPr="00A94A61" w:rsidRDefault="00A94A61" w:rsidP="00A94A61">
      <w:pPr>
        <w:jc w:val="both"/>
        <w:rPr>
          <w:rFonts w:ascii="Arial" w:eastAsia="Times New Roman" w:hAnsi="Arial" w:cs="Arial"/>
          <w:b/>
        </w:rPr>
      </w:pPr>
      <w:r w:rsidRPr="00A94A61">
        <w:rPr>
          <w:rFonts w:ascii="Arial" w:hAnsi="Arial" w:cs="Arial"/>
          <w:b/>
        </w:rPr>
        <w:t>References</w:t>
      </w:r>
    </w:p>
    <w:p w14:paraId="7A154E0A" w14:textId="77777777" w:rsidR="00A94A61" w:rsidRPr="00A94A61" w:rsidRDefault="00A94A61" w:rsidP="00A94A61">
      <w:pPr>
        <w:pStyle w:val="EndNoteBibliography"/>
        <w:spacing w:after="0"/>
        <w:ind w:left="720" w:hanging="720"/>
        <w:jc w:val="both"/>
        <w:rPr>
          <w:rFonts w:ascii="Arial" w:hAnsi="Arial" w:cs="Arial"/>
          <w:lang w:val="en-US"/>
        </w:rPr>
      </w:pPr>
      <w:r w:rsidRPr="00A94A61">
        <w:rPr>
          <w:rFonts w:ascii="Arial" w:hAnsi="Arial" w:cs="Arial"/>
        </w:rPr>
        <w:t xml:space="preserve">[1] World Health Organization. World report on vision 2019. Available from: </w:t>
      </w:r>
      <w:hyperlink r:id="rId5" w:history="1">
        <w:r w:rsidRPr="00A94A61">
          <w:rPr>
            <w:rStyle w:val="Hyperlink"/>
            <w:rFonts w:ascii="Arial" w:hAnsi="Arial" w:cs="Arial"/>
          </w:rPr>
          <w:t>https://www.who.int/publications/i/item/9789241516570</w:t>
        </w:r>
      </w:hyperlink>
      <w:r w:rsidRPr="00A94A61">
        <w:rPr>
          <w:rFonts w:ascii="Arial" w:hAnsi="Arial" w:cs="Arial"/>
        </w:rPr>
        <w:t>.</w:t>
      </w:r>
    </w:p>
    <w:p w14:paraId="1E5FDED4" w14:textId="77777777" w:rsidR="00A94A61" w:rsidRPr="00A94A61" w:rsidRDefault="00A94A61" w:rsidP="00A94A6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2"/>
          <w:szCs w:val="22"/>
        </w:rPr>
      </w:pPr>
      <w:r w:rsidRPr="00A94A61">
        <w:rPr>
          <w:rFonts w:ascii="Arial" w:hAnsi="Arial" w:cs="Arial"/>
          <w:sz w:val="22"/>
          <w:szCs w:val="22"/>
          <w:lang w:val="en-US"/>
        </w:rPr>
        <w:t xml:space="preserve">[2] </w:t>
      </w:r>
      <w:r w:rsidRPr="00A94A61">
        <w:rPr>
          <w:rFonts w:ascii="Arial" w:hAnsi="Arial" w:cs="Arial"/>
          <w:color w:val="222222"/>
          <w:sz w:val="22"/>
          <w:szCs w:val="22"/>
        </w:rPr>
        <w:t xml:space="preserve">Ananth S, </w:t>
      </w:r>
      <w:proofErr w:type="spellStart"/>
      <w:r w:rsidRPr="00A94A61">
        <w:rPr>
          <w:rFonts w:ascii="Arial" w:hAnsi="Arial" w:cs="Arial"/>
          <w:color w:val="222222"/>
          <w:sz w:val="22"/>
          <w:szCs w:val="22"/>
        </w:rPr>
        <w:t>Miyauchi</w:t>
      </w:r>
      <w:proofErr w:type="spellEnd"/>
      <w:r w:rsidRPr="00A94A61">
        <w:rPr>
          <w:rFonts w:ascii="Arial" w:hAnsi="Arial" w:cs="Arial"/>
          <w:color w:val="222222"/>
          <w:sz w:val="22"/>
          <w:szCs w:val="22"/>
        </w:rPr>
        <w:t xml:space="preserve"> S, </w:t>
      </w:r>
      <w:proofErr w:type="spellStart"/>
      <w:r w:rsidRPr="00A94A61">
        <w:rPr>
          <w:rFonts w:ascii="Arial" w:hAnsi="Arial" w:cs="Arial"/>
          <w:color w:val="222222"/>
          <w:sz w:val="22"/>
          <w:szCs w:val="22"/>
        </w:rPr>
        <w:t>Thangaraju</w:t>
      </w:r>
      <w:proofErr w:type="spellEnd"/>
      <w:r w:rsidRPr="00A94A61">
        <w:rPr>
          <w:rFonts w:ascii="Arial" w:hAnsi="Arial" w:cs="Arial"/>
          <w:color w:val="222222"/>
          <w:sz w:val="22"/>
          <w:szCs w:val="22"/>
        </w:rPr>
        <w:t xml:space="preserve"> M, Jadeja RN, Bartoli M, Ganapathy V, Martin PM. Selenomethionine (Se-Met) Induces the Cystine/Glutamate Exchanger SLC7A11 in Cultured Human Retinal Pigment Epithelial (RPE) Cells: Implications for Antioxidant Therapy in Aging Retina. </w:t>
      </w:r>
      <w:r w:rsidRPr="00A94A61">
        <w:rPr>
          <w:rStyle w:val="Emphasis"/>
          <w:rFonts w:ascii="Arial" w:hAnsi="Arial" w:cs="Arial"/>
          <w:color w:val="222222"/>
          <w:sz w:val="22"/>
          <w:szCs w:val="22"/>
        </w:rPr>
        <w:t>Antioxidants</w:t>
      </w:r>
      <w:r w:rsidRPr="00A94A61">
        <w:rPr>
          <w:rFonts w:ascii="Arial" w:hAnsi="Arial" w:cs="Arial"/>
          <w:color w:val="222222"/>
          <w:sz w:val="22"/>
          <w:szCs w:val="22"/>
        </w:rPr>
        <w:t>. 2021; 10(1):9.</w:t>
      </w:r>
      <w:r w:rsidRPr="00A94A61">
        <w:rPr>
          <w:rFonts w:ascii="Arial" w:hAnsi="Arial" w:cs="Arial"/>
          <w:sz w:val="22"/>
          <w:szCs w:val="22"/>
        </w:rPr>
        <w:t xml:space="preserve"> Available from:</w:t>
      </w:r>
      <w:r w:rsidRPr="00A94A61">
        <w:rPr>
          <w:rFonts w:ascii="Arial" w:hAnsi="Arial" w:cs="Arial"/>
          <w:color w:val="222222"/>
          <w:sz w:val="22"/>
          <w:szCs w:val="22"/>
        </w:rPr>
        <w:t xml:space="preserve"> </w:t>
      </w:r>
      <w:hyperlink r:id="rId6" w:history="1">
        <w:r w:rsidRPr="00A94A61">
          <w:rPr>
            <w:rStyle w:val="Hyperlink"/>
            <w:rFonts w:ascii="Arial" w:hAnsi="Arial" w:cs="Arial"/>
            <w:sz w:val="22"/>
            <w:szCs w:val="22"/>
          </w:rPr>
          <w:t>https://doi.org/10.3390/antiox10010009</w:t>
        </w:r>
      </w:hyperlink>
      <w:r w:rsidRPr="00A94A61">
        <w:rPr>
          <w:rFonts w:ascii="Arial" w:hAnsi="Arial" w:cs="Arial"/>
          <w:color w:val="222222"/>
          <w:sz w:val="22"/>
          <w:szCs w:val="22"/>
        </w:rPr>
        <w:t xml:space="preserve"> </w:t>
      </w:r>
    </w:p>
    <w:p w14:paraId="5EF434F8" w14:textId="77777777" w:rsidR="00A94A61" w:rsidRPr="00A94A61" w:rsidRDefault="00A94A61" w:rsidP="00A94A6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2"/>
          <w:szCs w:val="22"/>
        </w:rPr>
      </w:pPr>
      <w:r w:rsidRPr="00A94A61">
        <w:rPr>
          <w:rFonts w:ascii="Arial" w:hAnsi="Arial" w:cs="Arial"/>
          <w:sz w:val="22"/>
          <w:szCs w:val="22"/>
          <w:lang w:val="en-US"/>
        </w:rPr>
        <w:t xml:space="preserve">[3] </w:t>
      </w:r>
      <w:r w:rsidRPr="00A94A61">
        <w:rPr>
          <w:rFonts w:ascii="Arial" w:hAnsi="Arial" w:cs="Arial"/>
          <w:color w:val="212121"/>
          <w:sz w:val="22"/>
          <w:szCs w:val="22"/>
        </w:rPr>
        <w:t xml:space="preserve">Steinbrenner H, Sies H. Protection against reactive oxygen species by </w:t>
      </w:r>
      <w:proofErr w:type="spellStart"/>
      <w:r w:rsidRPr="00A94A61">
        <w:rPr>
          <w:rFonts w:ascii="Arial" w:hAnsi="Arial" w:cs="Arial"/>
          <w:color w:val="212121"/>
          <w:sz w:val="22"/>
          <w:szCs w:val="22"/>
        </w:rPr>
        <w:t>selenoproteins</w:t>
      </w:r>
      <w:proofErr w:type="spellEnd"/>
      <w:r w:rsidRPr="00A94A61">
        <w:rPr>
          <w:rFonts w:ascii="Arial" w:hAnsi="Arial" w:cs="Arial"/>
          <w:color w:val="212121"/>
          <w:sz w:val="22"/>
          <w:szCs w:val="22"/>
        </w:rPr>
        <w:t>. </w:t>
      </w:r>
      <w:proofErr w:type="spellStart"/>
      <w:r w:rsidRPr="00A94A61">
        <w:rPr>
          <w:rFonts w:ascii="Arial" w:hAnsi="Arial" w:cs="Arial"/>
          <w:i/>
          <w:iCs/>
          <w:color w:val="212121"/>
          <w:sz w:val="22"/>
          <w:szCs w:val="22"/>
        </w:rPr>
        <w:t>Biochim</w:t>
      </w:r>
      <w:proofErr w:type="spellEnd"/>
      <w:r w:rsidRPr="00A94A61">
        <w:rPr>
          <w:rFonts w:ascii="Arial" w:hAnsi="Arial" w:cs="Arial"/>
          <w:i/>
          <w:iCs/>
          <w:color w:val="212121"/>
          <w:sz w:val="22"/>
          <w:szCs w:val="22"/>
        </w:rPr>
        <w:t xml:space="preserve"> </w:t>
      </w:r>
      <w:proofErr w:type="spellStart"/>
      <w:r w:rsidRPr="00A94A61">
        <w:rPr>
          <w:rFonts w:ascii="Arial" w:hAnsi="Arial" w:cs="Arial"/>
          <w:i/>
          <w:iCs/>
          <w:color w:val="212121"/>
          <w:sz w:val="22"/>
          <w:szCs w:val="22"/>
        </w:rPr>
        <w:t>Biophys</w:t>
      </w:r>
      <w:proofErr w:type="spellEnd"/>
      <w:r w:rsidRPr="00A94A61">
        <w:rPr>
          <w:rFonts w:ascii="Arial" w:hAnsi="Arial" w:cs="Arial"/>
          <w:i/>
          <w:iCs/>
          <w:color w:val="212121"/>
          <w:sz w:val="22"/>
          <w:szCs w:val="22"/>
        </w:rPr>
        <w:t xml:space="preserve"> Acta</w:t>
      </w:r>
      <w:r w:rsidRPr="00A94A61">
        <w:rPr>
          <w:rFonts w:ascii="Arial" w:hAnsi="Arial" w:cs="Arial"/>
          <w:color w:val="212121"/>
          <w:sz w:val="22"/>
          <w:szCs w:val="22"/>
        </w:rPr>
        <w:t xml:space="preserve">. 2009; 1790(11):1478-1485. Available </w:t>
      </w:r>
      <w:proofErr w:type="gramStart"/>
      <w:r w:rsidRPr="00A94A61">
        <w:rPr>
          <w:rFonts w:ascii="Arial" w:hAnsi="Arial" w:cs="Arial"/>
          <w:color w:val="212121"/>
          <w:sz w:val="22"/>
          <w:szCs w:val="22"/>
        </w:rPr>
        <w:t>from :</w:t>
      </w:r>
      <w:proofErr w:type="gramEnd"/>
      <w:r w:rsidRPr="00A94A61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Pr="00A94A61">
          <w:rPr>
            <w:rStyle w:val="Hyperlink"/>
            <w:rFonts w:ascii="Arial" w:hAnsi="Arial" w:cs="Arial"/>
            <w:sz w:val="22"/>
            <w:szCs w:val="22"/>
          </w:rPr>
          <w:t>https://doi.org/10.1016/j.bbagen.2009.02.014</w:t>
        </w:r>
      </w:hyperlink>
      <w:r w:rsidRPr="00A94A61">
        <w:rPr>
          <w:rFonts w:ascii="Arial" w:hAnsi="Arial" w:cs="Arial"/>
          <w:color w:val="212121"/>
          <w:sz w:val="22"/>
          <w:szCs w:val="22"/>
        </w:rPr>
        <w:t xml:space="preserve"> </w:t>
      </w:r>
    </w:p>
    <w:p w14:paraId="6AAF9FAF" w14:textId="542DB620" w:rsidR="00AB0613" w:rsidRPr="00A94A61" w:rsidRDefault="00AB0613" w:rsidP="00467207">
      <w:pPr>
        <w:rPr>
          <w:rFonts w:ascii="Arial" w:hAnsi="Arial" w:cs="Arial"/>
          <w:color w:val="FF0000"/>
        </w:rPr>
      </w:pPr>
    </w:p>
    <w:sectPr w:rsidR="00AB0613" w:rsidRPr="00A94A61" w:rsidSect="002A6B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F134C"/>
    <w:multiLevelType w:val="hybridMultilevel"/>
    <w:tmpl w:val="F9F00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3469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207"/>
    <w:rsid w:val="00000031"/>
    <w:rsid w:val="00054457"/>
    <w:rsid w:val="000627A6"/>
    <w:rsid w:val="00174437"/>
    <w:rsid w:val="001939AF"/>
    <w:rsid w:val="00197EC0"/>
    <w:rsid w:val="001A55C2"/>
    <w:rsid w:val="001A6B42"/>
    <w:rsid w:val="002569B1"/>
    <w:rsid w:val="002A6B96"/>
    <w:rsid w:val="002C4540"/>
    <w:rsid w:val="00374966"/>
    <w:rsid w:val="00381602"/>
    <w:rsid w:val="003A7B6A"/>
    <w:rsid w:val="003D0A78"/>
    <w:rsid w:val="003E6DEF"/>
    <w:rsid w:val="00460ABA"/>
    <w:rsid w:val="00467207"/>
    <w:rsid w:val="004B18C6"/>
    <w:rsid w:val="004D7D60"/>
    <w:rsid w:val="005162DB"/>
    <w:rsid w:val="005301C0"/>
    <w:rsid w:val="005556FD"/>
    <w:rsid w:val="005C3469"/>
    <w:rsid w:val="00686768"/>
    <w:rsid w:val="00717CE7"/>
    <w:rsid w:val="0073272B"/>
    <w:rsid w:val="00770BAE"/>
    <w:rsid w:val="00791851"/>
    <w:rsid w:val="00801C54"/>
    <w:rsid w:val="008912D0"/>
    <w:rsid w:val="008C715D"/>
    <w:rsid w:val="00972FB0"/>
    <w:rsid w:val="009B7EC2"/>
    <w:rsid w:val="00A34DB9"/>
    <w:rsid w:val="00A94A61"/>
    <w:rsid w:val="00AB0613"/>
    <w:rsid w:val="00AC1A57"/>
    <w:rsid w:val="00AE77F8"/>
    <w:rsid w:val="00B053D3"/>
    <w:rsid w:val="00B223BC"/>
    <w:rsid w:val="00B852B0"/>
    <w:rsid w:val="00BA1BF0"/>
    <w:rsid w:val="00C8087A"/>
    <w:rsid w:val="00D16D0D"/>
    <w:rsid w:val="00D2501D"/>
    <w:rsid w:val="00D72B3E"/>
    <w:rsid w:val="00D96D21"/>
    <w:rsid w:val="00E20280"/>
    <w:rsid w:val="00E84BD7"/>
    <w:rsid w:val="00E94B41"/>
    <w:rsid w:val="00EA519D"/>
    <w:rsid w:val="00EE19A7"/>
    <w:rsid w:val="00EF49C5"/>
    <w:rsid w:val="00F44271"/>
    <w:rsid w:val="00F710AD"/>
    <w:rsid w:val="00FE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E849D4"/>
  <w15:docId w15:val="{A2F81D47-72E9-0644-8CD3-05CD1C28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360" w:lineRule="auto"/>
        <w:ind w:firstLine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207"/>
    <w:pPr>
      <w:spacing w:line="276" w:lineRule="auto"/>
      <w:ind w:firstLine="0"/>
      <w:jc w:val="left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FB0"/>
    <w:pPr>
      <w:ind w:left="720"/>
      <w:contextualSpacing/>
    </w:pPr>
  </w:style>
  <w:style w:type="character" w:customStyle="1" w:styleId="cf01">
    <w:name w:val="cf01"/>
    <w:basedOn w:val="DefaultParagraphFont"/>
    <w:rsid w:val="00A94A61"/>
    <w:rPr>
      <w:rFonts w:ascii="Segoe UI" w:hAnsi="Segoe UI" w:cs="Segoe UI" w:hint="default"/>
      <w:sz w:val="18"/>
      <w:szCs w:val="18"/>
    </w:rPr>
  </w:style>
  <w:style w:type="paragraph" w:customStyle="1" w:styleId="CorrespondingAuthorICCC2016">
    <w:name w:val="Corresponding_Author_ICCC2016"/>
    <w:basedOn w:val="Normal"/>
    <w:rsid w:val="00A94A61"/>
    <w:pPr>
      <w:spacing w:before="40" w:after="360" w:line="240" w:lineRule="auto"/>
      <w:jc w:val="center"/>
    </w:pPr>
    <w:rPr>
      <w:rFonts w:ascii="Arial" w:eastAsia="Times New Roman" w:hAnsi="Arial" w:cs="Courier New"/>
      <w:sz w:val="24"/>
      <w:szCs w:val="20"/>
      <w:lang w:eastAsia="fr-FR"/>
    </w:rPr>
  </w:style>
  <w:style w:type="character" w:styleId="Hyperlink">
    <w:name w:val="Hyperlink"/>
    <w:basedOn w:val="DefaultParagraphFont"/>
    <w:uiPriority w:val="99"/>
    <w:semiHidden/>
    <w:unhideWhenUsed/>
    <w:rsid w:val="00A94A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94A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EndNoteBibliographyChar">
    <w:name w:val="EndNote Bibliography Char"/>
    <w:basedOn w:val="DefaultParagraphFont"/>
    <w:link w:val="EndNoteBibliography"/>
    <w:locked/>
    <w:rsid w:val="00A94A61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A94A61"/>
    <w:pPr>
      <w:spacing w:after="160" w:line="240" w:lineRule="auto"/>
      <w:ind w:firstLine="720"/>
    </w:pPr>
    <w:rPr>
      <w:rFonts w:eastAsiaTheme="minorHAnsi" w:cs="Calibri"/>
      <w:noProof/>
      <w:lang w:val="en-GB"/>
    </w:rPr>
  </w:style>
  <w:style w:type="character" w:styleId="Emphasis">
    <w:name w:val="Emphasis"/>
    <w:basedOn w:val="DefaultParagraphFont"/>
    <w:uiPriority w:val="20"/>
    <w:qFormat/>
    <w:rsid w:val="00A94A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016/j.bbagen.2009.02.0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3390/antiox10010009" TargetMode="External"/><Relationship Id="rId5" Type="http://schemas.openxmlformats.org/officeDocument/2006/relationships/hyperlink" Target="https://www.who.int/publications/i/item/978924151657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Albassam, Lulwah</cp:lastModifiedBy>
  <cp:revision>8</cp:revision>
  <dcterms:created xsi:type="dcterms:W3CDTF">2020-01-06T10:32:00Z</dcterms:created>
  <dcterms:modified xsi:type="dcterms:W3CDTF">2023-04-20T11:59:00Z</dcterms:modified>
</cp:coreProperties>
</file>