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886832">
        <w:tc>
          <w:tcPr>
            <w:tcW w:w="9016" w:type="dxa"/>
          </w:tcPr>
          <w:p w14:paraId="612976A6" w14:textId="2011C810" w:rsidR="00467207" w:rsidRPr="00C8192D" w:rsidRDefault="009A3312" w:rsidP="00886832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The antibiofilm effects of pH-sensitive nitric oxide donors</w:t>
            </w:r>
            <w:r w:rsidR="00DB0044">
              <w:rPr>
                <w:rFonts w:ascii="Arial" w:hAnsi="Arial" w:cs="Arial"/>
                <w:b/>
                <w:szCs w:val="28"/>
              </w:rPr>
              <w:t xml:space="preserve"> for the treatment of chronic wound infections</w:t>
            </w:r>
          </w:p>
        </w:tc>
      </w:tr>
      <w:tr w:rsidR="00467207" w:rsidRPr="005A09F5" w14:paraId="1D5D4D13" w14:textId="77777777" w:rsidTr="00886832">
        <w:tc>
          <w:tcPr>
            <w:tcW w:w="9016" w:type="dxa"/>
          </w:tcPr>
          <w:p w14:paraId="02AF625D" w14:textId="07DEAE84" w:rsidR="00972FB0" w:rsidRPr="000E02BB" w:rsidRDefault="000C32BA" w:rsidP="00886832">
            <w:pPr>
              <w:spacing w:line="240" w:lineRule="auto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u w:val="single"/>
              </w:rPr>
              <w:t>Aaron Crowther</w:t>
            </w:r>
            <w:r w:rsidR="00AB0613" w:rsidRPr="005556FD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Gareth LuTheryn</w:t>
            </w:r>
            <w:r w:rsidRPr="005556FD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, Dario Carugo</w:t>
            </w:r>
            <w:r w:rsidRPr="005556FD"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  <w:vertAlign w:val="superscript"/>
              </w:rPr>
              <w:t>,</w:t>
            </w:r>
            <w:r w:rsidR="005556FD" w:rsidRPr="005556FD">
              <w:rPr>
                <w:rFonts w:ascii="Arial" w:hAnsi="Arial"/>
                <w:vertAlign w:val="superscript"/>
              </w:rPr>
              <w:t>2</w:t>
            </w:r>
          </w:p>
        </w:tc>
      </w:tr>
      <w:tr w:rsidR="00467207" w:rsidRPr="005A09F5" w14:paraId="63FBC6B0" w14:textId="77777777" w:rsidTr="00886832">
        <w:tc>
          <w:tcPr>
            <w:tcW w:w="9016" w:type="dxa"/>
          </w:tcPr>
          <w:p w14:paraId="1E6D58FE" w14:textId="5559355E" w:rsidR="00EA519D" w:rsidRPr="00EA519D" w:rsidRDefault="005556FD" w:rsidP="00886832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73272B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 </w:t>
            </w:r>
            <w:r w:rsidR="000C32BA">
              <w:rPr>
                <w:rFonts w:ascii="Arial" w:eastAsia="Times New Roman" w:hAnsi="Arial" w:cs="Arial"/>
                <w:color w:val="000000"/>
                <w:lang w:val="en-GB" w:eastAsia="en-GB"/>
              </w:rPr>
              <w:t>School of Pharmacy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</w:t>
            </w:r>
            <w:r w:rsidR="000C32BA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of Pharmaceutics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, University</w:t>
            </w:r>
            <w:r w:rsidR="000C32BA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College London</w:t>
            </w:r>
            <w:r w:rsidR="00AB061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0C32BA">
              <w:rPr>
                <w:rFonts w:ascii="Arial" w:eastAsia="Times New Roman" w:hAnsi="Arial" w:cs="Arial"/>
                <w:color w:val="000000"/>
                <w:lang w:val="en-GB" w:eastAsia="en-GB"/>
              </w:rPr>
              <w:t>London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0C32BA">
              <w:rPr>
                <w:rFonts w:ascii="Arial" w:eastAsia="Times New Roman" w:hAnsi="Arial" w:cs="Arial"/>
                <w:color w:val="000000"/>
                <w:lang w:val="en-GB" w:eastAsia="en-GB"/>
              </w:rPr>
              <w:t>United Kingdom</w:t>
            </w:r>
            <w:r w:rsidR="008C715D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; </w:t>
            </w:r>
            <w:r w:rsidRPr="005556F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 xml:space="preserve">2 </w:t>
            </w:r>
            <w:r w:rsidR="00DA559B">
              <w:rPr>
                <w:rFonts w:ascii="Arial" w:eastAsia="Times New Roman" w:hAnsi="Arial" w:cs="Arial"/>
                <w:color w:val="000000"/>
                <w:lang w:val="en-GB" w:eastAsia="en-GB"/>
              </w:rPr>
              <w:t>Institute of Biomedical Engineering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>, University</w:t>
            </w:r>
            <w:r w:rsidR="000E02B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of Oxford</w:t>
            </w:r>
            <w:r w:rsidR="00972FB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0E02BB">
              <w:rPr>
                <w:rFonts w:ascii="Arial" w:eastAsia="Times New Roman" w:hAnsi="Arial" w:cs="Arial"/>
                <w:color w:val="000000"/>
                <w:lang w:val="en-GB" w:eastAsia="en-GB"/>
              </w:rPr>
              <w:t>Oxford</w:t>
            </w:r>
            <w:r w:rsidR="00972FB0"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0E02BB">
              <w:rPr>
                <w:rFonts w:ascii="Arial" w:eastAsia="Times New Roman" w:hAnsi="Arial" w:cs="Arial"/>
                <w:color w:val="000000"/>
                <w:lang w:val="en-GB" w:eastAsia="en-GB"/>
              </w:rPr>
              <w:t>United Kingdom</w:t>
            </w:r>
          </w:p>
        </w:tc>
      </w:tr>
      <w:tr w:rsidR="00467207" w:rsidRPr="005A09F5" w14:paraId="68801AA9" w14:textId="77777777" w:rsidTr="00886832">
        <w:tc>
          <w:tcPr>
            <w:tcW w:w="9016" w:type="dxa"/>
          </w:tcPr>
          <w:p w14:paraId="4D02338A" w14:textId="74D3708C" w:rsidR="00EA519D" w:rsidRPr="00EA519D" w:rsidRDefault="00467207" w:rsidP="00886832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532515">
              <w:rPr>
                <w:rFonts w:ascii="Arial" w:hAnsi="Arial"/>
              </w:rPr>
              <w:t>Bacterial biofilms are a major global health concern, responsible for approximately 80% of all recorded chronic and recurrent microbial infections. One example of a clinically significant biofilm</w:t>
            </w:r>
            <w:r w:rsidR="00B175A2">
              <w:rPr>
                <w:rFonts w:ascii="Arial" w:hAnsi="Arial"/>
              </w:rPr>
              <w:t>-</w:t>
            </w:r>
            <w:r w:rsidR="00532515">
              <w:rPr>
                <w:rFonts w:ascii="Arial" w:hAnsi="Arial"/>
              </w:rPr>
              <w:t>associated infection i</w:t>
            </w:r>
            <w:r w:rsidR="00B175A2">
              <w:rPr>
                <w:rFonts w:ascii="Arial" w:hAnsi="Arial"/>
              </w:rPr>
              <w:t>s</w:t>
            </w:r>
            <w:r w:rsidR="00532515">
              <w:rPr>
                <w:rFonts w:ascii="Arial" w:hAnsi="Arial"/>
              </w:rPr>
              <w:t xml:space="preserve"> the chronic wound. Biofilms in chronic wounds disrupt the normal healing process, giving rise to infection-related morbidity and mortality. Many novel antibiofilm agents have been reported in the literature, notably nitric oxide </w:t>
            </w:r>
            <w:r w:rsidR="00260FB4">
              <w:rPr>
                <w:rFonts w:ascii="Arial" w:hAnsi="Arial"/>
              </w:rPr>
              <w:t xml:space="preserve">(NO) </w:t>
            </w:r>
            <w:r w:rsidR="00532515">
              <w:rPr>
                <w:rFonts w:ascii="Arial" w:hAnsi="Arial"/>
              </w:rPr>
              <w:t xml:space="preserve">gas which has shown efficacy in biofilm dispersal </w:t>
            </w:r>
            <w:r w:rsidR="00260FB4">
              <w:rPr>
                <w:rFonts w:ascii="Arial" w:hAnsi="Arial"/>
              </w:rPr>
              <w:t xml:space="preserve">and wound healing but has limited applicability due to its short half-life. Here, </w:t>
            </w:r>
            <w:r w:rsidR="00A00A09">
              <w:rPr>
                <w:rFonts w:ascii="Arial" w:hAnsi="Arial"/>
              </w:rPr>
              <w:t xml:space="preserve">the antibiofilm effects of </w:t>
            </w:r>
            <w:r w:rsidR="00260FB4">
              <w:rPr>
                <w:rFonts w:ascii="Arial" w:hAnsi="Arial"/>
              </w:rPr>
              <w:t>NO donor molecule</w:t>
            </w:r>
            <w:r w:rsidR="00A00A09">
              <w:rPr>
                <w:rFonts w:ascii="Arial" w:hAnsi="Arial"/>
              </w:rPr>
              <w:t>s from the N-</w:t>
            </w:r>
            <w:proofErr w:type="spellStart"/>
            <w:r w:rsidR="00A00A09">
              <w:rPr>
                <w:rFonts w:ascii="Arial" w:hAnsi="Arial"/>
              </w:rPr>
              <w:t>diazeniumdiolate</w:t>
            </w:r>
            <w:proofErr w:type="spellEnd"/>
            <w:r w:rsidR="00A00A09">
              <w:rPr>
                <w:rFonts w:ascii="Arial" w:hAnsi="Arial"/>
              </w:rPr>
              <w:t xml:space="preserve"> </w:t>
            </w:r>
            <w:r w:rsidR="00B175A2">
              <w:rPr>
                <w:rFonts w:ascii="Arial" w:hAnsi="Arial"/>
              </w:rPr>
              <w:t>(</w:t>
            </w:r>
            <w:proofErr w:type="spellStart"/>
            <w:r w:rsidR="00B175A2">
              <w:rPr>
                <w:rFonts w:ascii="Arial" w:hAnsi="Arial"/>
              </w:rPr>
              <w:t>NONOate</w:t>
            </w:r>
            <w:proofErr w:type="spellEnd"/>
            <w:r w:rsidR="00B175A2">
              <w:rPr>
                <w:rFonts w:ascii="Arial" w:hAnsi="Arial"/>
              </w:rPr>
              <w:t xml:space="preserve">) </w:t>
            </w:r>
            <w:r w:rsidR="00A00A09">
              <w:rPr>
                <w:rFonts w:ascii="Arial" w:hAnsi="Arial"/>
              </w:rPr>
              <w:t xml:space="preserve">family, propylamine </w:t>
            </w:r>
            <w:proofErr w:type="spellStart"/>
            <w:r w:rsidR="00A00A09">
              <w:rPr>
                <w:rFonts w:ascii="Arial" w:hAnsi="Arial"/>
              </w:rPr>
              <w:t>propylamine</w:t>
            </w:r>
            <w:proofErr w:type="spellEnd"/>
            <w:r w:rsidR="00A00A09">
              <w:rPr>
                <w:rFonts w:ascii="Arial" w:hAnsi="Arial"/>
              </w:rPr>
              <w:t xml:space="preserve"> </w:t>
            </w:r>
            <w:proofErr w:type="spellStart"/>
            <w:r w:rsidR="00A00A09">
              <w:rPr>
                <w:rFonts w:ascii="Arial" w:hAnsi="Arial"/>
              </w:rPr>
              <w:t>NONOate</w:t>
            </w:r>
            <w:proofErr w:type="spellEnd"/>
            <w:r w:rsidR="00A00A09">
              <w:rPr>
                <w:rFonts w:ascii="Arial" w:hAnsi="Arial"/>
              </w:rPr>
              <w:t xml:space="preserve"> (PA-NO) and spermine </w:t>
            </w:r>
            <w:proofErr w:type="spellStart"/>
            <w:r w:rsidR="00A00A09">
              <w:rPr>
                <w:rFonts w:ascii="Arial" w:hAnsi="Arial"/>
              </w:rPr>
              <w:t>NONOate</w:t>
            </w:r>
            <w:proofErr w:type="spellEnd"/>
            <w:r w:rsidR="00A00A09">
              <w:rPr>
                <w:rFonts w:ascii="Arial" w:hAnsi="Arial"/>
              </w:rPr>
              <w:t xml:space="preserve"> (SP-NO)</w:t>
            </w:r>
            <w:r w:rsidR="00260FB4">
              <w:rPr>
                <w:rFonts w:ascii="Arial" w:hAnsi="Arial"/>
              </w:rPr>
              <w:t xml:space="preserve">, which release NO </w:t>
            </w:r>
            <w:r w:rsidR="00A00A09">
              <w:rPr>
                <w:rFonts w:ascii="Arial" w:hAnsi="Arial"/>
              </w:rPr>
              <w:t>in an acid-catalyzed manner, ha</w:t>
            </w:r>
            <w:r w:rsidR="00B175A2">
              <w:rPr>
                <w:rFonts w:ascii="Arial" w:hAnsi="Arial"/>
              </w:rPr>
              <w:t>s</w:t>
            </w:r>
            <w:r w:rsidR="00A00A09">
              <w:rPr>
                <w:rFonts w:ascii="Arial" w:hAnsi="Arial"/>
              </w:rPr>
              <w:t xml:space="preserve"> been investigated.</w:t>
            </w:r>
          </w:p>
        </w:tc>
      </w:tr>
      <w:tr w:rsidR="00467207" w:rsidRPr="005A09F5" w14:paraId="291DAA53" w14:textId="77777777" w:rsidTr="00886832">
        <w:tc>
          <w:tcPr>
            <w:tcW w:w="9016" w:type="dxa"/>
          </w:tcPr>
          <w:p w14:paraId="158BA3F5" w14:textId="55CABA6C" w:rsidR="00EA519D" w:rsidRPr="00221D3D" w:rsidRDefault="00467207" w:rsidP="00886832">
            <w:pPr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A00A09">
              <w:rPr>
                <w:rFonts w:ascii="Arial" w:hAnsi="Arial"/>
              </w:rPr>
              <w:t xml:space="preserve">The Griess assay was used to confirm NO release from candidates </w:t>
            </w:r>
            <w:proofErr w:type="spellStart"/>
            <w:r w:rsidR="00A00A09">
              <w:rPr>
                <w:rFonts w:ascii="Arial" w:hAnsi="Arial"/>
              </w:rPr>
              <w:t>NONOates</w:t>
            </w:r>
            <w:proofErr w:type="spellEnd"/>
            <w:r w:rsidR="00A00A09">
              <w:rPr>
                <w:rFonts w:ascii="Arial" w:hAnsi="Arial"/>
              </w:rPr>
              <w:t xml:space="preserve"> </w:t>
            </w:r>
            <w:r w:rsidR="00221D3D">
              <w:rPr>
                <w:rFonts w:ascii="Arial" w:hAnsi="Arial"/>
              </w:rPr>
              <w:t xml:space="preserve">and investigate the pH-dependence of </w:t>
            </w:r>
            <w:r w:rsidR="00B175A2">
              <w:rPr>
                <w:rFonts w:ascii="Arial" w:hAnsi="Arial"/>
              </w:rPr>
              <w:t>decomposition</w:t>
            </w:r>
            <w:r w:rsidR="00221D3D">
              <w:rPr>
                <w:rFonts w:ascii="Arial" w:hAnsi="Arial"/>
              </w:rPr>
              <w:t xml:space="preserve">, investigating pH levels 5.5, 6.5, and 7.5. To assess the antibiofilm effects of the NO donor candidates, </w:t>
            </w:r>
            <w:r w:rsidR="00221D3D">
              <w:rPr>
                <w:rFonts w:ascii="Arial" w:hAnsi="Arial"/>
                <w:i/>
                <w:iCs/>
              </w:rPr>
              <w:t xml:space="preserve">Pseudomonas aeruginosa </w:t>
            </w:r>
            <w:r w:rsidR="00221D3D">
              <w:rPr>
                <w:rFonts w:ascii="Arial" w:hAnsi="Arial"/>
              </w:rPr>
              <w:t xml:space="preserve">(PAO1) biofilms were grown for 24 hours in 96-well microplates. Biofilms were treated with 250 </w:t>
            </w:r>
            <w:r w:rsidR="00221D3D">
              <w:rPr>
                <w:rFonts w:ascii="Arial" w:hAnsi="Arial" w:cs="Arial"/>
              </w:rPr>
              <w:t>µ</w:t>
            </w:r>
            <w:r w:rsidR="00221D3D">
              <w:rPr>
                <w:rFonts w:ascii="Arial" w:hAnsi="Arial"/>
              </w:rPr>
              <w:t xml:space="preserve">M PA-NO and SP-NO at pH levels 5.5, </w:t>
            </w:r>
            <w:r w:rsidR="00B175A2">
              <w:rPr>
                <w:rFonts w:ascii="Arial" w:hAnsi="Arial"/>
              </w:rPr>
              <w:t>7</w:t>
            </w:r>
            <w:r w:rsidR="00221D3D">
              <w:rPr>
                <w:rFonts w:ascii="Arial" w:hAnsi="Arial"/>
              </w:rPr>
              <w:t>.5, and 8.5</w:t>
            </w:r>
            <w:r w:rsidR="00951A6C">
              <w:rPr>
                <w:rFonts w:ascii="Arial" w:hAnsi="Arial"/>
              </w:rPr>
              <w:t>, for 60- and 120-min.</w:t>
            </w:r>
            <w:r w:rsidR="009C71E4">
              <w:rPr>
                <w:rFonts w:ascii="Arial" w:hAnsi="Arial"/>
              </w:rPr>
              <w:t xml:space="preserve"> Biofilms were then stained with crystal violet solution and absorbance was measured to represent total biomass.</w:t>
            </w:r>
            <w:r w:rsidR="00951A6C">
              <w:rPr>
                <w:rFonts w:ascii="Arial" w:hAnsi="Arial"/>
              </w:rPr>
              <w:t xml:space="preserve"> </w:t>
            </w:r>
            <w:r w:rsidR="009F0581">
              <w:rPr>
                <w:rFonts w:ascii="Arial" w:hAnsi="Arial"/>
              </w:rPr>
              <w:t xml:space="preserve">Antibiofilm efficacy was assessed at both 37 </w:t>
            </w:r>
            <w:r w:rsidR="009F0581">
              <w:rPr>
                <w:rFonts w:ascii="Arial" w:hAnsi="Arial" w:cs="Arial"/>
              </w:rPr>
              <w:t>°</w:t>
            </w:r>
            <w:r w:rsidR="009F0581">
              <w:rPr>
                <w:rFonts w:ascii="Arial" w:hAnsi="Arial"/>
              </w:rPr>
              <w:t xml:space="preserve">C and, the more wound-relevant temperature, 32 </w:t>
            </w:r>
            <w:r w:rsidR="009F0581">
              <w:rPr>
                <w:rFonts w:ascii="Arial" w:hAnsi="Arial" w:cs="Arial"/>
              </w:rPr>
              <w:t>°</w:t>
            </w:r>
            <w:r w:rsidR="009F0581">
              <w:rPr>
                <w:rFonts w:ascii="Arial" w:hAnsi="Arial"/>
              </w:rPr>
              <w:t>C.</w:t>
            </w:r>
          </w:p>
        </w:tc>
      </w:tr>
      <w:tr w:rsidR="00467207" w:rsidRPr="005A09F5" w14:paraId="3489F48C" w14:textId="77777777" w:rsidTr="00886832">
        <w:tc>
          <w:tcPr>
            <w:tcW w:w="9016" w:type="dxa"/>
          </w:tcPr>
          <w:p w14:paraId="721BEE18" w14:textId="5E0BE1D5" w:rsidR="00EA519D" w:rsidRPr="00EA519D" w:rsidRDefault="00467207" w:rsidP="00886832">
            <w:pPr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9C71E4">
              <w:rPr>
                <w:rFonts w:ascii="Arial" w:hAnsi="Arial"/>
              </w:rPr>
              <w:t xml:space="preserve">The Griess assay showed decreasing amounts of NO detected as the pH of the </w:t>
            </w:r>
            <w:proofErr w:type="spellStart"/>
            <w:r w:rsidR="009C71E4">
              <w:rPr>
                <w:rFonts w:ascii="Arial" w:hAnsi="Arial"/>
              </w:rPr>
              <w:t>NONOate</w:t>
            </w:r>
            <w:proofErr w:type="spellEnd"/>
            <w:r w:rsidR="009C71E4">
              <w:rPr>
                <w:rFonts w:ascii="Arial" w:hAnsi="Arial"/>
              </w:rPr>
              <w:t xml:space="preserve"> solution was increased.</w:t>
            </w:r>
            <w:r w:rsidR="007F76B3">
              <w:rPr>
                <w:rFonts w:ascii="Arial" w:hAnsi="Arial"/>
              </w:rPr>
              <w:t xml:space="preserve"> No biofilm dispersal was </w:t>
            </w:r>
            <w:r w:rsidR="00A07152">
              <w:rPr>
                <w:rFonts w:ascii="Arial" w:hAnsi="Arial"/>
              </w:rPr>
              <w:t xml:space="preserve">observed after 60-min treatment, at all pH </w:t>
            </w:r>
            <w:r w:rsidR="0085548F">
              <w:rPr>
                <w:rFonts w:ascii="Arial" w:hAnsi="Arial"/>
              </w:rPr>
              <w:t>levels</w:t>
            </w:r>
            <w:r w:rsidR="00A07152">
              <w:rPr>
                <w:rFonts w:ascii="Arial" w:hAnsi="Arial"/>
              </w:rPr>
              <w:t xml:space="preserve"> assessed</w:t>
            </w:r>
            <w:r w:rsidR="0085548F">
              <w:rPr>
                <w:rFonts w:ascii="Arial" w:hAnsi="Arial"/>
              </w:rPr>
              <w:t>; however, extending the treatment time to 120 min showed significant biomass reductions for</w:t>
            </w:r>
            <w:r w:rsidR="00BB5A7F">
              <w:rPr>
                <w:rFonts w:ascii="Arial" w:hAnsi="Arial"/>
              </w:rPr>
              <w:t xml:space="preserve"> 250 </w:t>
            </w:r>
            <w:r w:rsidR="00BB5A7F">
              <w:rPr>
                <w:rFonts w:ascii="Arial" w:hAnsi="Arial" w:cs="Arial"/>
              </w:rPr>
              <w:t>µ</w:t>
            </w:r>
            <w:r w:rsidR="00BB5A7F">
              <w:rPr>
                <w:rFonts w:ascii="Arial" w:hAnsi="Arial"/>
              </w:rPr>
              <w:t>M</w:t>
            </w:r>
            <w:r w:rsidR="0085548F">
              <w:rPr>
                <w:rFonts w:ascii="Arial" w:hAnsi="Arial"/>
              </w:rPr>
              <w:t xml:space="preserve"> PA-NO, and SP-NO, at 37 </w:t>
            </w:r>
            <w:r w:rsidR="0085548F">
              <w:rPr>
                <w:rFonts w:ascii="Arial" w:hAnsi="Arial" w:cs="Arial"/>
              </w:rPr>
              <w:t>°</w:t>
            </w:r>
            <w:r w:rsidR="0085548F">
              <w:rPr>
                <w:rFonts w:ascii="Arial" w:hAnsi="Arial"/>
              </w:rPr>
              <w:t xml:space="preserve">C and pH 7.5. Assessing biofilm dispersal at 32 </w:t>
            </w:r>
            <w:r w:rsidR="0085548F">
              <w:rPr>
                <w:rFonts w:ascii="Arial" w:hAnsi="Arial" w:cs="Arial"/>
              </w:rPr>
              <w:t>°</w:t>
            </w:r>
            <w:r w:rsidR="0085548F">
              <w:rPr>
                <w:rFonts w:ascii="Arial" w:hAnsi="Arial"/>
              </w:rPr>
              <w:t>C</w:t>
            </w:r>
            <w:r w:rsidR="00B175A2">
              <w:rPr>
                <w:rFonts w:ascii="Arial" w:hAnsi="Arial"/>
              </w:rPr>
              <w:t xml:space="preserve"> also</w:t>
            </w:r>
            <w:r w:rsidR="00BB5A7F">
              <w:rPr>
                <w:rFonts w:ascii="Arial" w:hAnsi="Arial"/>
              </w:rPr>
              <w:t xml:space="preserve"> showed 250 </w:t>
            </w:r>
            <w:r w:rsidR="00BB5A7F">
              <w:rPr>
                <w:rFonts w:ascii="Arial" w:hAnsi="Arial" w:cs="Arial"/>
              </w:rPr>
              <w:t>µ</w:t>
            </w:r>
            <w:r w:rsidR="00BB5A7F">
              <w:rPr>
                <w:rFonts w:ascii="Arial" w:hAnsi="Arial"/>
              </w:rPr>
              <w:t>M PA-NO and SP-NO to show the most significant biomass reductions at pH 7.</w:t>
            </w:r>
            <w:r w:rsidR="00B175A2">
              <w:rPr>
                <w:rFonts w:ascii="Arial" w:hAnsi="Arial"/>
              </w:rPr>
              <w:t>5, compared to other pH environments</w:t>
            </w:r>
            <w:r w:rsidR="00BB5A7F">
              <w:rPr>
                <w:rFonts w:ascii="Arial" w:hAnsi="Arial"/>
              </w:rPr>
              <w:t>.</w:t>
            </w:r>
          </w:p>
        </w:tc>
      </w:tr>
      <w:tr w:rsidR="00467207" w:rsidRPr="005A09F5" w14:paraId="2083C688" w14:textId="77777777" w:rsidTr="00886832">
        <w:tc>
          <w:tcPr>
            <w:tcW w:w="9016" w:type="dxa"/>
          </w:tcPr>
          <w:p w14:paraId="2B777301" w14:textId="7402A161" w:rsidR="00467207" w:rsidRPr="00951A6C" w:rsidRDefault="00467207" w:rsidP="00886832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951A6C">
              <w:rPr>
                <w:rFonts w:ascii="Arial" w:hAnsi="Arial"/>
              </w:rPr>
              <w:t xml:space="preserve">The work presented here highlights the potential for </w:t>
            </w:r>
            <w:proofErr w:type="spellStart"/>
            <w:r w:rsidR="00951A6C">
              <w:rPr>
                <w:rFonts w:ascii="Arial" w:hAnsi="Arial"/>
              </w:rPr>
              <w:t>NONOates</w:t>
            </w:r>
            <w:proofErr w:type="spellEnd"/>
            <w:r w:rsidR="00951A6C">
              <w:rPr>
                <w:rFonts w:ascii="Arial" w:hAnsi="Arial"/>
              </w:rPr>
              <w:t xml:space="preserve"> to be used</w:t>
            </w:r>
            <w:r w:rsidR="00DA559B">
              <w:rPr>
                <w:rFonts w:ascii="Arial" w:hAnsi="Arial"/>
              </w:rPr>
              <w:t xml:space="preserve"> as</w:t>
            </w:r>
            <w:r w:rsidR="00951A6C">
              <w:rPr>
                <w:rFonts w:ascii="Arial" w:hAnsi="Arial"/>
              </w:rPr>
              <w:t xml:space="preserve"> an antibiofilm therapy in chronic wound infections. For the first time, the antibiofilm effects</w:t>
            </w:r>
            <w:r w:rsidR="00B175A2">
              <w:rPr>
                <w:rFonts w:ascii="Arial" w:hAnsi="Arial"/>
              </w:rPr>
              <w:t xml:space="preserve"> of </w:t>
            </w:r>
            <w:proofErr w:type="spellStart"/>
            <w:r w:rsidR="00B175A2">
              <w:rPr>
                <w:rFonts w:ascii="Arial" w:hAnsi="Arial"/>
              </w:rPr>
              <w:t>NONOates</w:t>
            </w:r>
            <w:proofErr w:type="spellEnd"/>
            <w:r w:rsidR="00951A6C">
              <w:rPr>
                <w:rFonts w:ascii="Arial" w:hAnsi="Arial"/>
              </w:rPr>
              <w:t xml:space="preserve"> have been assessed in wound-relevant conditions, assessing pH as a </w:t>
            </w:r>
            <w:r w:rsidR="009F0581">
              <w:rPr>
                <w:rFonts w:ascii="Arial" w:hAnsi="Arial"/>
              </w:rPr>
              <w:t>variable,</w:t>
            </w:r>
            <w:r w:rsidR="00951A6C">
              <w:rPr>
                <w:rFonts w:ascii="Arial" w:hAnsi="Arial"/>
              </w:rPr>
              <w:t xml:space="preserve"> and investigating a lower temperature that is more consistent with those reported </w:t>
            </w:r>
            <w:r w:rsidR="00951A6C">
              <w:rPr>
                <w:rFonts w:ascii="Arial" w:hAnsi="Arial"/>
                <w:i/>
                <w:iCs/>
              </w:rPr>
              <w:t>in vivo</w:t>
            </w:r>
            <w:r w:rsidR="00951A6C">
              <w:rPr>
                <w:rFonts w:ascii="Arial" w:hAnsi="Arial"/>
              </w:rPr>
              <w:t>.</w:t>
            </w:r>
            <w:r w:rsidR="0085548F">
              <w:rPr>
                <w:rFonts w:ascii="Arial" w:hAnsi="Arial"/>
              </w:rPr>
              <w:t xml:space="preserve"> </w:t>
            </w:r>
            <w:r w:rsidR="00B175A2">
              <w:rPr>
                <w:rFonts w:ascii="Arial" w:hAnsi="Arial"/>
              </w:rPr>
              <w:t xml:space="preserve">Future work should investigate the temporal dispersal events via microscopy and consider the potentiation of antibiotic efficacy. </w:t>
            </w:r>
          </w:p>
        </w:tc>
      </w:tr>
    </w:tbl>
    <w:p w14:paraId="6AAF9FAF" w14:textId="7D66F4F8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0C32BA"/>
    <w:rsid w:val="000E02BB"/>
    <w:rsid w:val="00174437"/>
    <w:rsid w:val="001939AF"/>
    <w:rsid w:val="00197EC0"/>
    <w:rsid w:val="001A6B42"/>
    <w:rsid w:val="001C3C43"/>
    <w:rsid w:val="00221D3D"/>
    <w:rsid w:val="002569B1"/>
    <w:rsid w:val="00260FB4"/>
    <w:rsid w:val="002A6B96"/>
    <w:rsid w:val="002C4540"/>
    <w:rsid w:val="00374966"/>
    <w:rsid w:val="00376DD7"/>
    <w:rsid w:val="00381602"/>
    <w:rsid w:val="003A7B6A"/>
    <w:rsid w:val="003D0A78"/>
    <w:rsid w:val="003E6DEF"/>
    <w:rsid w:val="00460ABA"/>
    <w:rsid w:val="00467207"/>
    <w:rsid w:val="004B18C6"/>
    <w:rsid w:val="004D7D60"/>
    <w:rsid w:val="005162DB"/>
    <w:rsid w:val="005301C0"/>
    <w:rsid w:val="00532515"/>
    <w:rsid w:val="005556FD"/>
    <w:rsid w:val="005C3469"/>
    <w:rsid w:val="00686768"/>
    <w:rsid w:val="00717CE7"/>
    <w:rsid w:val="0073272B"/>
    <w:rsid w:val="00770BAE"/>
    <w:rsid w:val="00791851"/>
    <w:rsid w:val="007F76B3"/>
    <w:rsid w:val="00801C54"/>
    <w:rsid w:val="0085548F"/>
    <w:rsid w:val="00862DD0"/>
    <w:rsid w:val="00886832"/>
    <w:rsid w:val="008912D0"/>
    <w:rsid w:val="008C715D"/>
    <w:rsid w:val="00951A6C"/>
    <w:rsid w:val="00962CA8"/>
    <w:rsid w:val="00972FB0"/>
    <w:rsid w:val="009A3312"/>
    <w:rsid w:val="009B7EC2"/>
    <w:rsid w:val="009C71E4"/>
    <w:rsid w:val="009F0581"/>
    <w:rsid w:val="00A00A09"/>
    <w:rsid w:val="00A07152"/>
    <w:rsid w:val="00A34DB9"/>
    <w:rsid w:val="00AB0613"/>
    <w:rsid w:val="00AC1A57"/>
    <w:rsid w:val="00AE77F8"/>
    <w:rsid w:val="00B053D3"/>
    <w:rsid w:val="00B175A2"/>
    <w:rsid w:val="00B223BC"/>
    <w:rsid w:val="00B852B0"/>
    <w:rsid w:val="00BA1BF0"/>
    <w:rsid w:val="00BB5A7F"/>
    <w:rsid w:val="00C31E5C"/>
    <w:rsid w:val="00C8087A"/>
    <w:rsid w:val="00D16D0D"/>
    <w:rsid w:val="00D2501D"/>
    <w:rsid w:val="00D72B3E"/>
    <w:rsid w:val="00D96D21"/>
    <w:rsid w:val="00DA559B"/>
    <w:rsid w:val="00DB0044"/>
    <w:rsid w:val="00E20280"/>
    <w:rsid w:val="00E84BD7"/>
    <w:rsid w:val="00E94B41"/>
    <w:rsid w:val="00EA519D"/>
    <w:rsid w:val="00EE19A7"/>
    <w:rsid w:val="00EF49C5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Sion Coulman</cp:lastModifiedBy>
  <cp:revision>10</cp:revision>
  <dcterms:created xsi:type="dcterms:W3CDTF">2023-04-28T11:40:00Z</dcterms:created>
  <dcterms:modified xsi:type="dcterms:W3CDTF">2023-05-05T13:57:00Z</dcterms:modified>
</cp:coreProperties>
</file>